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0C6B" w:rsidRDefault="00B70C6B">
      <w:pPr>
        <w:widowControl w:val="0"/>
      </w:pPr>
    </w:p>
    <w:tbl>
      <w:tblPr>
        <w:tblStyle w:val="a"/>
        <w:tblW w:w="10450" w:type="dxa"/>
        <w:tblBorders>
          <w:top w:val="single" w:sz="4" w:space="0" w:color="FFFFFF"/>
          <w:left w:val="single" w:sz="4" w:space="0" w:color="FFFFFF"/>
          <w:bottom w:val="nil"/>
          <w:right w:val="single" w:sz="4" w:space="0" w:color="FFFFFF"/>
          <w:insideH w:val="nil"/>
          <w:insideV w:val="nil"/>
        </w:tblBorders>
        <w:tblLayout w:type="fixed"/>
        <w:tblLook w:val="0400" w:firstRow="0" w:lastRow="0" w:firstColumn="0" w:lastColumn="0" w:noHBand="0" w:noVBand="1"/>
      </w:tblPr>
      <w:tblGrid>
        <w:gridCol w:w="10450"/>
      </w:tblGrid>
      <w:tr w:rsidR="00B70C6B" w14:paraId="025EFA02" w14:textId="77777777" w:rsidTr="53AEFE2A">
        <w:tc>
          <w:tcPr>
            <w:tcW w:w="10450" w:type="dxa"/>
          </w:tcPr>
          <w:p w14:paraId="659F0A51" w14:textId="77777777" w:rsidR="00B70C6B" w:rsidRDefault="004B294F" w:rsidP="6DC99AC3">
            <w:pPr>
              <w:spacing w:line="240" w:lineRule="auto"/>
              <w:jc w:val="center"/>
              <w:rPr>
                <w:rFonts w:ascii="Calibri" w:eastAsia="Calibri" w:hAnsi="Calibri" w:cs="Calibri"/>
                <w:b/>
                <w:bCs/>
                <w:sz w:val="28"/>
                <w:szCs w:val="28"/>
              </w:rPr>
            </w:pPr>
            <w:r>
              <w:rPr>
                <w:rFonts w:ascii="Calibri" w:eastAsia="Calibri" w:hAnsi="Calibri" w:cs="Calibri"/>
                <w:b/>
                <w:noProof/>
                <w:sz w:val="28"/>
                <w:szCs w:val="28"/>
                <w:lang w:val="es-ES_tradnl"/>
              </w:rPr>
              <w:drawing>
                <wp:inline distT="114300" distB="114300" distL="114300" distR="114300" wp14:anchorId="4C0CA108" wp14:editId="07777777">
                  <wp:extent cx="1662113" cy="12522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62113" cy="1252242"/>
                          </a:xfrm>
                          <a:prstGeom prst="rect">
                            <a:avLst/>
                          </a:prstGeom>
                          <a:ln/>
                        </pic:spPr>
                      </pic:pic>
                    </a:graphicData>
                  </a:graphic>
                </wp:inline>
              </w:drawing>
            </w:r>
          </w:p>
          <w:p w14:paraId="44F37628" w14:textId="60EA6448" w:rsidR="00B70C6B" w:rsidRDefault="54496EAD" w:rsidP="6DC99AC3">
            <w:pPr>
              <w:spacing w:line="240" w:lineRule="auto"/>
              <w:jc w:val="center"/>
              <w:rPr>
                <w:rFonts w:asciiTheme="majorHAnsi" w:eastAsiaTheme="majorEastAsia" w:hAnsiTheme="majorHAnsi" w:cstheme="majorBidi"/>
                <w:sz w:val="24"/>
                <w:szCs w:val="24"/>
                <w:u w:val="single"/>
              </w:rPr>
            </w:pPr>
            <w:r w:rsidRPr="6DC99AC3">
              <w:rPr>
                <w:rFonts w:ascii="Calibri" w:eastAsia="Calibri" w:hAnsi="Calibri" w:cs="Calibri"/>
                <w:i/>
                <w:iCs/>
                <w:sz w:val="24"/>
                <w:szCs w:val="24"/>
              </w:rPr>
              <w:t xml:space="preserve">Agria valoración de la votación en el Congreso del dictamen definitivo en materia de Sanidad y Salud Pública </w:t>
            </w:r>
            <w:r w:rsidR="14C60A57" w:rsidRPr="6DC99AC3">
              <w:rPr>
                <w:rFonts w:ascii="Calibri" w:eastAsia="Calibri" w:hAnsi="Calibri" w:cs="Calibri"/>
                <w:i/>
                <w:iCs/>
                <w:sz w:val="24"/>
                <w:szCs w:val="24"/>
              </w:rPr>
              <w:t xml:space="preserve">por parte de las organizaciones promotoras de </w:t>
            </w:r>
            <w:r w:rsidR="53E63301" w:rsidRPr="6DC99AC3">
              <w:rPr>
                <w:rFonts w:ascii="Calibri" w:eastAsia="Calibri" w:hAnsi="Calibri" w:cs="Calibri"/>
                <w:i/>
                <w:iCs/>
                <w:sz w:val="24"/>
                <w:szCs w:val="24"/>
              </w:rPr>
              <w:t>la campaña</w:t>
            </w:r>
            <w:r w:rsidR="14C60A57" w:rsidRPr="6DC99AC3">
              <w:rPr>
                <w:rFonts w:ascii="Calibri" w:eastAsia="Calibri" w:hAnsi="Calibri" w:cs="Calibri"/>
                <w:i/>
                <w:iCs/>
                <w:sz w:val="24"/>
                <w:szCs w:val="24"/>
              </w:rPr>
              <w:t xml:space="preserve"> #DespuésDeAplaudir </w:t>
            </w:r>
          </w:p>
          <w:p w14:paraId="1C59240C" w14:textId="4492A86F" w:rsidR="6DC99AC3" w:rsidRDefault="6DC99AC3" w:rsidP="6DC99AC3">
            <w:pPr>
              <w:spacing w:line="240" w:lineRule="auto"/>
              <w:jc w:val="center"/>
              <w:rPr>
                <w:rFonts w:ascii="Calibri" w:eastAsia="Calibri" w:hAnsi="Calibri" w:cs="Calibri"/>
                <w:i/>
                <w:iCs/>
                <w:sz w:val="24"/>
                <w:szCs w:val="24"/>
              </w:rPr>
            </w:pPr>
          </w:p>
          <w:p w14:paraId="00000008" w14:textId="3606D38C" w:rsidR="00B70C6B" w:rsidRDefault="283B7B76" w:rsidP="6DC99AC3">
            <w:pPr>
              <w:spacing w:line="240" w:lineRule="auto"/>
              <w:jc w:val="center"/>
              <w:rPr>
                <w:b/>
                <w:bCs/>
                <w:sz w:val="36"/>
                <w:szCs w:val="36"/>
              </w:rPr>
            </w:pPr>
            <w:r w:rsidRPr="6DC99AC3">
              <w:rPr>
                <w:b/>
                <w:bCs/>
                <w:sz w:val="36"/>
                <w:szCs w:val="36"/>
              </w:rPr>
              <w:t xml:space="preserve">Sensación de “oportunidad perdida” entre la veintena de organizaciones impulsoras de </w:t>
            </w:r>
            <w:r w:rsidR="450161EF" w:rsidRPr="6DC99AC3">
              <w:rPr>
                <w:b/>
                <w:bCs/>
                <w:sz w:val="36"/>
                <w:szCs w:val="36"/>
              </w:rPr>
              <w:t>Más</w:t>
            </w:r>
            <w:r w:rsidR="682782E0" w:rsidRPr="6DC99AC3">
              <w:rPr>
                <w:b/>
                <w:bCs/>
                <w:sz w:val="36"/>
                <w:szCs w:val="36"/>
              </w:rPr>
              <w:t xml:space="preserve"> </w:t>
            </w:r>
            <w:r w:rsidR="450161EF" w:rsidRPr="6DC99AC3">
              <w:rPr>
                <w:b/>
                <w:bCs/>
                <w:sz w:val="36"/>
                <w:szCs w:val="36"/>
              </w:rPr>
              <w:t xml:space="preserve">Sanidad al </w:t>
            </w:r>
            <w:r w:rsidR="000D001B">
              <w:rPr>
                <w:b/>
                <w:bCs/>
                <w:sz w:val="36"/>
                <w:szCs w:val="36"/>
              </w:rPr>
              <w:br/>
            </w:r>
            <w:r w:rsidR="450161EF" w:rsidRPr="6DC99AC3">
              <w:rPr>
                <w:b/>
                <w:bCs/>
                <w:sz w:val="36"/>
                <w:szCs w:val="36"/>
              </w:rPr>
              <w:t>no  concretarse un acuerdo de financiación finalista</w:t>
            </w:r>
            <w:r w:rsidR="72F938E8" w:rsidRPr="6DC99AC3">
              <w:rPr>
                <w:b/>
                <w:bCs/>
                <w:sz w:val="36"/>
                <w:szCs w:val="36"/>
              </w:rPr>
              <w:t xml:space="preserve"> </w:t>
            </w:r>
            <w:r w:rsidR="000D001B">
              <w:rPr>
                <w:b/>
                <w:bCs/>
                <w:sz w:val="36"/>
                <w:szCs w:val="36"/>
              </w:rPr>
              <w:br/>
            </w:r>
            <w:r w:rsidR="72F938E8" w:rsidRPr="6DC99AC3">
              <w:rPr>
                <w:b/>
                <w:bCs/>
                <w:sz w:val="36"/>
                <w:szCs w:val="36"/>
              </w:rPr>
              <w:t>que blinde la sanidad pública</w:t>
            </w:r>
          </w:p>
          <w:p w14:paraId="3FDC9DD1" w14:textId="0ABC902D" w:rsidR="6DC99AC3" w:rsidRDefault="6DC99AC3" w:rsidP="6DC99AC3">
            <w:pPr>
              <w:spacing w:line="240" w:lineRule="auto"/>
              <w:jc w:val="center"/>
              <w:rPr>
                <w:b/>
                <w:bCs/>
                <w:sz w:val="36"/>
                <w:szCs w:val="36"/>
              </w:rPr>
            </w:pPr>
          </w:p>
          <w:p w14:paraId="0000000A" w14:textId="2AE1209A" w:rsidR="00B70C6B" w:rsidRDefault="5E1194A7" w:rsidP="6DC99AC3">
            <w:pPr>
              <w:pStyle w:val="Prrafodelista"/>
              <w:numPr>
                <w:ilvl w:val="0"/>
                <w:numId w:val="1"/>
              </w:numPr>
              <w:spacing w:line="240" w:lineRule="auto"/>
              <w:jc w:val="both"/>
              <w:rPr>
                <w:rFonts w:ascii="Calibri" w:eastAsia="Calibri" w:hAnsi="Calibri" w:cs="Calibri"/>
                <w:i/>
                <w:iCs/>
                <w:sz w:val="24"/>
                <w:szCs w:val="24"/>
              </w:rPr>
            </w:pPr>
            <w:r w:rsidRPr="6DC99AC3">
              <w:rPr>
                <w:rFonts w:ascii="Calibri" w:eastAsia="Calibri" w:hAnsi="Calibri" w:cs="Calibri"/>
                <w:i/>
                <w:iCs/>
                <w:sz w:val="24"/>
                <w:szCs w:val="24"/>
              </w:rPr>
              <w:t xml:space="preserve">Los compromisos alcanzados son insuficientes y no dan respuesta a </w:t>
            </w:r>
            <w:r w:rsidR="42FA961E" w:rsidRPr="6DC99AC3">
              <w:rPr>
                <w:rFonts w:ascii="Calibri" w:eastAsia="Calibri" w:hAnsi="Calibri" w:cs="Calibri"/>
                <w:i/>
                <w:iCs/>
                <w:sz w:val="24"/>
                <w:szCs w:val="24"/>
              </w:rPr>
              <w:t>alguno</w:t>
            </w:r>
            <w:r w:rsidR="1C2ACD76" w:rsidRPr="6DC99AC3">
              <w:rPr>
                <w:rFonts w:ascii="Calibri" w:eastAsia="Calibri" w:hAnsi="Calibri" w:cs="Calibri"/>
                <w:i/>
                <w:iCs/>
                <w:sz w:val="24"/>
                <w:szCs w:val="24"/>
              </w:rPr>
              <w:t>s</w:t>
            </w:r>
            <w:r w:rsidR="42FA961E" w:rsidRPr="6DC99AC3">
              <w:rPr>
                <w:rFonts w:ascii="Calibri" w:eastAsia="Calibri" w:hAnsi="Calibri" w:cs="Calibri"/>
                <w:i/>
                <w:iCs/>
                <w:sz w:val="24"/>
                <w:szCs w:val="24"/>
              </w:rPr>
              <w:t xml:space="preserve"> de los</w:t>
            </w:r>
            <w:r w:rsidRPr="6DC99AC3">
              <w:rPr>
                <w:rFonts w:ascii="Calibri" w:eastAsia="Calibri" w:hAnsi="Calibri" w:cs="Calibri"/>
                <w:i/>
                <w:iCs/>
                <w:sz w:val="24"/>
                <w:szCs w:val="24"/>
              </w:rPr>
              <w:t xml:space="preserve"> problemas estructurales de la sanidad española, como la falta de financiación, la </w:t>
            </w:r>
            <w:r w:rsidR="52067DB5" w:rsidRPr="6DC99AC3">
              <w:rPr>
                <w:rFonts w:ascii="Calibri" w:eastAsia="Calibri" w:hAnsi="Calibri" w:cs="Calibri"/>
                <w:i/>
                <w:iCs/>
                <w:sz w:val="24"/>
                <w:szCs w:val="24"/>
              </w:rPr>
              <w:t xml:space="preserve">necesaria </w:t>
            </w:r>
            <w:r w:rsidRPr="6DC99AC3">
              <w:rPr>
                <w:rFonts w:ascii="Calibri" w:eastAsia="Calibri" w:hAnsi="Calibri" w:cs="Calibri"/>
                <w:i/>
                <w:iCs/>
                <w:sz w:val="24"/>
                <w:szCs w:val="24"/>
              </w:rPr>
              <w:t xml:space="preserve">reforma de la política farmacéutica o el </w:t>
            </w:r>
            <w:r w:rsidR="6D18A359" w:rsidRPr="6DC99AC3">
              <w:rPr>
                <w:rFonts w:ascii="Calibri" w:eastAsia="Calibri" w:hAnsi="Calibri" w:cs="Calibri"/>
                <w:i/>
                <w:iCs/>
                <w:sz w:val="24"/>
                <w:szCs w:val="24"/>
              </w:rPr>
              <w:t>blindaje frente a las privatizaciones</w:t>
            </w:r>
          </w:p>
          <w:p w14:paraId="47782246" w14:textId="28DD5FBF" w:rsidR="0AE86A09" w:rsidRDefault="0AE86A09" w:rsidP="6DC99AC3">
            <w:pPr>
              <w:pStyle w:val="Prrafodelista"/>
              <w:numPr>
                <w:ilvl w:val="0"/>
                <w:numId w:val="1"/>
              </w:numPr>
              <w:spacing w:line="240" w:lineRule="auto"/>
              <w:jc w:val="both"/>
              <w:rPr>
                <w:rFonts w:ascii="Calibri" w:eastAsia="Calibri" w:hAnsi="Calibri" w:cs="Calibri"/>
                <w:i/>
                <w:iCs/>
                <w:sz w:val="24"/>
                <w:szCs w:val="24"/>
              </w:rPr>
            </w:pPr>
            <w:r w:rsidRPr="6DC99AC3">
              <w:rPr>
                <w:rFonts w:ascii="Calibri" w:eastAsia="Calibri" w:hAnsi="Calibri" w:cs="Calibri"/>
                <w:i/>
                <w:iCs/>
                <w:sz w:val="24"/>
                <w:szCs w:val="24"/>
              </w:rPr>
              <w:t>La Comisión, aseguran, ha fracasado a la hora de evaluar las políticas sanitarias de la última década, marcadas por la austeridad y el impulso de modelos privatizadores.</w:t>
            </w:r>
          </w:p>
          <w:p w14:paraId="0000000E" w14:textId="77777777" w:rsidR="00B70C6B" w:rsidRDefault="00B70C6B">
            <w:pPr>
              <w:spacing w:line="240" w:lineRule="auto"/>
              <w:rPr>
                <w:rFonts w:ascii="Times" w:eastAsia="Times" w:hAnsi="Times" w:cs="Times"/>
                <w:sz w:val="20"/>
                <w:szCs w:val="20"/>
              </w:rPr>
            </w:pPr>
          </w:p>
          <w:p w14:paraId="3453F0CD" w14:textId="70B15CC6" w:rsidR="00891778" w:rsidRDefault="002C2042" w:rsidP="6DC99AC3">
            <w:pPr>
              <w:spacing w:after="160" w:line="240" w:lineRule="auto"/>
              <w:jc w:val="both"/>
              <w:rPr>
                <w:rFonts w:ascii="Calibri" w:eastAsia="Calibri" w:hAnsi="Calibri" w:cs="Calibri"/>
                <w:b/>
                <w:bCs/>
              </w:rPr>
            </w:pPr>
            <w:r w:rsidRPr="53AEFE2A">
              <w:rPr>
                <w:rFonts w:ascii="Calibri" w:eastAsia="Calibri" w:hAnsi="Calibri" w:cs="Calibri"/>
                <w:b/>
                <w:bCs/>
                <w:i/>
                <w:iCs/>
              </w:rPr>
              <w:t xml:space="preserve">24 </w:t>
            </w:r>
            <w:r w:rsidR="64309981" w:rsidRPr="53AEFE2A">
              <w:rPr>
                <w:rFonts w:ascii="Calibri" w:eastAsia="Calibri" w:hAnsi="Calibri" w:cs="Calibri"/>
                <w:b/>
                <w:bCs/>
                <w:i/>
                <w:iCs/>
              </w:rPr>
              <w:t>de julio de 2020</w:t>
            </w:r>
            <w:r w:rsidR="64309981" w:rsidRPr="53AEFE2A">
              <w:rPr>
                <w:rFonts w:ascii="Calibri" w:eastAsia="Calibri" w:hAnsi="Calibri" w:cs="Calibri"/>
                <w:b/>
                <w:bCs/>
              </w:rPr>
              <w:t xml:space="preserve">. </w:t>
            </w:r>
            <w:r w:rsidR="0C82259D" w:rsidRPr="53AEFE2A">
              <w:rPr>
                <w:rFonts w:ascii="Calibri" w:eastAsia="Calibri" w:hAnsi="Calibri" w:cs="Calibri"/>
                <w:b/>
                <w:bCs/>
              </w:rPr>
              <w:t>La</w:t>
            </w:r>
            <w:r w:rsidR="24B4030C" w:rsidRPr="53AEFE2A">
              <w:rPr>
                <w:rFonts w:ascii="Calibri" w:eastAsia="Calibri" w:hAnsi="Calibri" w:cs="Calibri"/>
                <w:b/>
                <w:bCs/>
              </w:rPr>
              <w:t>s</w:t>
            </w:r>
            <w:r w:rsidR="0C82259D" w:rsidRPr="53AEFE2A">
              <w:rPr>
                <w:rFonts w:ascii="Calibri" w:eastAsia="Calibri" w:hAnsi="Calibri" w:cs="Calibri"/>
                <w:b/>
                <w:bCs/>
              </w:rPr>
              <w:t xml:space="preserve"> expresi</w:t>
            </w:r>
            <w:r w:rsidR="3604AB38" w:rsidRPr="53AEFE2A">
              <w:rPr>
                <w:rFonts w:ascii="Calibri" w:eastAsia="Calibri" w:hAnsi="Calibri" w:cs="Calibri"/>
                <w:b/>
                <w:bCs/>
              </w:rPr>
              <w:t>ones</w:t>
            </w:r>
            <w:r w:rsidR="0C82259D" w:rsidRPr="53AEFE2A">
              <w:rPr>
                <w:rFonts w:ascii="Calibri" w:eastAsia="Calibri" w:hAnsi="Calibri" w:cs="Calibri"/>
                <w:b/>
                <w:bCs/>
              </w:rPr>
              <w:t xml:space="preserve"> “decepción” y “o h</w:t>
            </w:r>
            <w:r w:rsidR="28FA6D1A" w:rsidRPr="53AEFE2A">
              <w:rPr>
                <w:rFonts w:ascii="Calibri" w:eastAsia="Calibri" w:hAnsi="Calibri" w:cs="Calibri"/>
                <w:b/>
                <w:bCs/>
              </w:rPr>
              <w:t>an escuchado</w:t>
            </w:r>
            <w:r w:rsidR="0C82259D" w:rsidRPr="53AEFE2A">
              <w:rPr>
                <w:rFonts w:ascii="Calibri" w:eastAsia="Calibri" w:hAnsi="Calibri" w:cs="Calibri"/>
                <w:b/>
                <w:bCs/>
              </w:rPr>
              <w:t xml:space="preserve"> NADA” resume</w:t>
            </w:r>
            <w:r w:rsidR="69CE1109" w:rsidRPr="53AEFE2A">
              <w:rPr>
                <w:rFonts w:ascii="Calibri" w:eastAsia="Calibri" w:hAnsi="Calibri" w:cs="Calibri"/>
                <w:b/>
                <w:bCs/>
              </w:rPr>
              <w:t>n</w:t>
            </w:r>
            <w:r w:rsidR="0C82259D" w:rsidRPr="53AEFE2A">
              <w:rPr>
                <w:rFonts w:ascii="Calibri" w:eastAsia="Calibri" w:hAnsi="Calibri" w:cs="Calibri"/>
                <w:b/>
                <w:bCs/>
              </w:rPr>
              <w:t xml:space="preserve"> la respuesta de </w:t>
            </w:r>
            <w:r w:rsidRPr="53AEFE2A">
              <w:rPr>
                <w:rFonts w:ascii="Calibri" w:eastAsia="Calibri" w:hAnsi="Calibri" w:cs="Calibri"/>
                <w:b/>
                <w:bCs/>
              </w:rPr>
              <w:t>l</w:t>
            </w:r>
            <w:r w:rsidR="004B294F" w:rsidRPr="53AEFE2A">
              <w:rPr>
                <w:rFonts w:ascii="Calibri" w:eastAsia="Calibri" w:hAnsi="Calibri" w:cs="Calibri"/>
                <w:b/>
                <w:bCs/>
              </w:rPr>
              <w:t>a veintena de organizaciones</w:t>
            </w:r>
            <w:r w:rsidR="68AA078B" w:rsidRPr="53AEFE2A">
              <w:rPr>
                <w:rFonts w:ascii="Calibri" w:eastAsia="Calibri" w:hAnsi="Calibri" w:cs="Calibri"/>
                <w:b/>
                <w:bCs/>
              </w:rPr>
              <w:t xml:space="preserve"> sociales, sanitarias y sindicales</w:t>
            </w:r>
            <w:r w:rsidR="004B294F" w:rsidRPr="53AEFE2A">
              <w:rPr>
                <w:rFonts w:ascii="Calibri" w:eastAsia="Calibri" w:hAnsi="Calibri" w:cs="Calibri"/>
                <w:b/>
                <w:bCs/>
              </w:rPr>
              <w:t xml:space="preserve"> </w:t>
            </w:r>
            <w:r w:rsidR="64309981" w:rsidRPr="53AEFE2A">
              <w:rPr>
                <w:rFonts w:ascii="Calibri" w:eastAsia="Calibri" w:hAnsi="Calibri" w:cs="Calibri"/>
                <w:b/>
                <w:bCs/>
              </w:rPr>
              <w:t xml:space="preserve">impulsoras de la </w:t>
            </w:r>
            <w:r w:rsidR="5587173F" w:rsidRPr="53AEFE2A">
              <w:rPr>
                <w:rFonts w:ascii="Calibri" w:eastAsia="Calibri" w:hAnsi="Calibri" w:cs="Calibri"/>
                <w:b/>
                <w:bCs/>
              </w:rPr>
              <w:t>alianza Más Sanidad</w:t>
            </w:r>
            <w:r w:rsidRPr="53AEFE2A">
              <w:rPr>
                <w:rFonts w:ascii="Calibri" w:eastAsia="Calibri" w:hAnsi="Calibri" w:cs="Calibri"/>
                <w:b/>
                <w:bCs/>
              </w:rPr>
              <w:t xml:space="preserve"> tras el Dictamen definitivo en materia de Sanidad y Salud Pública aprobado el pasado miércoles por el Pleno del Congreso de los Diputados</w:t>
            </w:r>
            <w:r w:rsidR="64309981" w:rsidRPr="53AEFE2A">
              <w:rPr>
                <w:rFonts w:ascii="Calibri" w:eastAsia="Calibri" w:hAnsi="Calibri" w:cs="Calibri"/>
                <w:b/>
                <w:bCs/>
              </w:rPr>
              <w:t>,</w:t>
            </w:r>
            <w:r w:rsidRPr="53AEFE2A">
              <w:rPr>
                <w:rFonts w:ascii="Calibri" w:eastAsia="Calibri" w:hAnsi="Calibri" w:cs="Calibri"/>
                <w:b/>
                <w:bCs/>
              </w:rPr>
              <w:t xml:space="preserve"> y que pone fin a casi tres meses de trabajo de la Comisión para la Reconstrucción Social y Económica. </w:t>
            </w:r>
            <w:r w:rsidR="64309981" w:rsidRPr="53AEFE2A">
              <w:rPr>
                <w:rFonts w:ascii="Calibri" w:eastAsia="Calibri" w:hAnsi="Calibri" w:cs="Calibri"/>
                <w:b/>
                <w:bCs/>
              </w:rPr>
              <w:t xml:space="preserve"> </w:t>
            </w:r>
            <w:r w:rsidRPr="53AEFE2A">
              <w:rPr>
                <w:rFonts w:ascii="Calibri" w:eastAsia="Calibri" w:hAnsi="Calibri" w:cs="Calibri"/>
                <w:b/>
                <w:bCs/>
              </w:rPr>
              <w:t xml:space="preserve">Estas organizaciones </w:t>
            </w:r>
            <w:r w:rsidR="004B294F" w:rsidRPr="53AEFE2A">
              <w:rPr>
                <w:rFonts w:ascii="Calibri" w:eastAsia="Calibri" w:hAnsi="Calibri" w:cs="Calibri"/>
                <w:b/>
                <w:bCs/>
              </w:rPr>
              <w:t>—</w:t>
            </w:r>
            <w:r w:rsidRPr="53AEFE2A">
              <w:rPr>
                <w:rFonts w:ascii="Calibri" w:eastAsia="Calibri" w:hAnsi="Calibri" w:cs="Calibri"/>
                <w:b/>
                <w:bCs/>
              </w:rPr>
              <w:t xml:space="preserve">consideran que </w:t>
            </w:r>
            <w:r w:rsidR="13E3851F" w:rsidRPr="53AEFE2A">
              <w:rPr>
                <w:rFonts w:ascii="Calibri" w:eastAsia="Calibri" w:hAnsi="Calibri" w:cs="Calibri"/>
                <w:b/>
                <w:bCs/>
              </w:rPr>
              <w:t xml:space="preserve"> </w:t>
            </w:r>
            <w:r w:rsidRPr="53AEFE2A">
              <w:rPr>
                <w:rFonts w:ascii="Calibri" w:eastAsia="Calibri" w:hAnsi="Calibri" w:cs="Calibri"/>
                <w:b/>
                <w:bCs/>
              </w:rPr>
              <w:t>los compromisos alcanzados por la Comisión son claramente insuficientes y no dan respuesta a</w:t>
            </w:r>
            <w:r w:rsidR="00891778" w:rsidRPr="53AEFE2A">
              <w:rPr>
                <w:rFonts w:ascii="Calibri" w:eastAsia="Calibri" w:hAnsi="Calibri" w:cs="Calibri"/>
                <w:b/>
                <w:bCs/>
              </w:rPr>
              <w:t xml:space="preserve"> varios problemas estructurales de la sanidad española evidenciadas por la pandemia de la COVID-19, como son, entre otros, la falta de financiación, una política en materia de medicamentos que anteponga el interés público al de las grandes empresas farmacéuticas o el blindaje frente a las privatizaciones.  </w:t>
            </w:r>
            <w:r w:rsidRPr="53AEFE2A">
              <w:rPr>
                <w:rFonts w:ascii="Calibri" w:eastAsia="Calibri" w:hAnsi="Calibri" w:cs="Calibri"/>
                <w:b/>
                <w:bCs/>
              </w:rPr>
              <w:t xml:space="preserve">  </w:t>
            </w:r>
          </w:p>
          <w:p w14:paraId="28598E57" w14:textId="3B18E108" w:rsidR="003F4867" w:rsidRDefault="0054444B" w:rsidP="6DC99AC3">
            <w:pPr>
              <w:spacing w:after="160" w:line="240" w:lineRule="auto"/>
              <w:jc w:val="both"/>
              <w:rPr>
                <w:rFonts w:ascii="Calibri" w:eastAsia="Calibri" w:hAnsi="Calibri" w:cs="Calibri"/>
              </w:rPr>
            </w:pPr>
            <w:r w:rsidRPr="6DC99AC3">
              <w:rPr>
                <w:rFonts w:ascii="Calibri" w:eastAsia="Calibri" w:hAnsi="Calibri" w:cs="Calibri"/>
              </w:rPr>
              <w:t xml:space="preserve">Tras más de dos meses de trabajo, con </w:t>
            </w:r>
            <w:r w:rsidR="003F4867" w:rsidRPr="6DC99AC3">
              <w:rPr>
                <w:rFonts w:ascii="Calibri" w:eastAsia="Calibri" w:hAnsi="Calibri" w:cs="Calibri"/>
              </w:rPr>
              <w:t xml:space="preserve">decenas de </w:t>
            </w:r>
            <w:r w:rsidRPr="6DC99AC3">
              <w:rPr>
                <w:rFonts w:ascii="Calibri" w:eastAsia="Calibri" w:hAnsi="Calibri" w:cs="Calibri"/>
              </w:rPr>
              <w:t xml:space="preserve">comparecencias de personas expertas </w:t>
            </w:r>
            <w:r w:rsidR="003F4867" w:rsidRPr="6DC99AC3">
              <w:rPr>
                <w:rFonts w:ascii="Calibri" w:eastAsia="Calibri" w:hAnsi="Calibri" w:cs="Calibri"/>
              </w:rPr>
              <w:t>y múltiples</w:t>
            </w:r>
            <w:r w:rsidRPr="6DC99AC3">
              <w:rPr>
                <w:rFonts w:ascii="Calibri" w:eastAsia="Calibri" w:hAnsi="Calibri" w:cs="Calibri"/>
              </w:rPr>
              <w:t xml:space="preserve"> informes por parte de la sociedad civil, </w:t>
            </w:r>
            <w:r w:rsidR="1F6B12D3" w:rsidRPr="6DC99AC3">
              <w:rPr>
                <w:rFonts w:ascii="Calibri" w:eastAsia="Calibri" w:hAnsi="Calibri" w:cs="Calibri"/>
              </w:rPr>
              <w:t xml:space="preserve">los grupos políticos </w:t>
            </w:r>
            <w:r w:rsidR="1E6B82E5" w:rsidRPr="6DC99AC3">
              <w:rPr>
                <w:rFonts w:ascii="Calibri" w:eastAsia="Calibri" w:hAnsi="Calibri" w:cs="Calibri"/>
              </w:rPr>
              <w:t>“</w:t>
            </w:r>
            <w:r w:rsidRPr="6DC99AC3">
              <w:rPr>
                <w:rFonts w:ascii="Calibri" w:eastAsia="Calibri" w:hAnsi="Calibri" w:cs="Calibri"/>
              </w:rPr>
              <w:t>no han escuchado nada</w:t>
            </w:r>
            <w:r w:rsidR="03BB8F64" w:rsidRPr="6DC99AC3">
              <w:rPr>
                <w:rFonts w:ascii="Calibri" w:eastAsia="Calibri" w:hAnsi="Calibri" w:cs="Calibri"/>
              </w:rPr>
              <w:t>”</w:t>
            </w:r>
            <w:r w:rsidR="6B46B616" w:rsidRPr="6DC99AC3">
              <w:rPr>
                <w:rFonts w:ascii="Calibri" w:eastAsia="Calibri" w:hAnsi="Calibri" w:cs="Calibri"/>
              </w:rPr>
              <w:t>, aseguran las organizaciones</w:t>
            </w:r>
            <w:r w:rsidR="28199873" w:rsidRPr="6DC99AC3">
              <w:rPr>
                <w:rFonts w:ascii="Calibri" w:eastAsia="Calibri" w:hAnsi="Calibri" w:cs="Calibri"/>
              </w:rPr>
              <w:t xml:space="preserve">. </w:t>
            </w:r>
            <w:r w:rsidR="3BC6AB7A" w:rsidRPr="6DC99AC3">
              <w:rPr>
                <w:rFonts w:ascii="Calibri" w:eastAsia="Calibri" w:hAnsi="Calibri" w:cs="Calibri"/>
              </w:rPr>
              <w:t>“</w:t>
            </w:r>
            <w:r w:rsidR="003F4867" w:rsidRPr="6DC99AC3">
              <w:rPr>
                <w:rFonts w:ascii="Calibri" w:eastAsia="Calibri" w:hAnsi="Calibri" w:cs="Calibri"/>
              </w:rPr>
              <w:t>Resulta llamativo que</w:t>
            </w:r>
            <w:r w:rsidR="40410C02" w:rsidRPr="6DC99AC3">
              <w:rPr>
                <w:rFonts w:ascii="Calibri" w:eastAsia="Calibri" w:hAnsi="Calibri" w:cs="Calibri"/>
              </w:rPr>
              <w:t>,</w:t>
            </w:r>
            <w:r w:rsidR="003F4867" w:rsidRPr="6DC99AC3">
              <w:rPr>
                <w:rFonts w:ascii="Calibri" w:eastAsia="Calibri" w:hAnsi="Calibri" w:cs="Calibri"/>
              </w:rPr>
              <w:t xml:space="preserve"> </w:t>
            </w:r>
            <w:r w:rsidR="00B460E7" w:rsidRPr="6DC99AC3">
              <w:rPr>
                <w:rFonts w:ascii="Calibri" w:eastAsia="Calibri" w:hAnsi="Calibri" w:cs="Calibri"/>
              </w:rPr>
              <w:t xml:space="preserve">ante la magnitud de la crisis que hemos experimentado, el Dictamen sobre Sanidad y Salud Pública </w:t>
            </w:r>
            <w:r w:rsidR="123DF319" w:rsidRPr="6DC99AC3">
              <w:rPr>
                <w:color w:val="4D5156"/>
                <w:sz w:val="21"/>
                <w:szCs w:val="21"/>
              </w:rPr>
              <w:t>—</w:t>
            </w:r>
            <w:r w:rsidR="00B460E7" w:rsidRPr="6DC99AC3">
              <w:rPr>
                <w:rFonts w:ascii="Calibri" w:eastAsia="Calibri" w:hAnsi="Calibri" w:cs="Calibri"/>
              </w:rPr>
              <w:t>al contrario que el resto de conclusiones de la Comisión</w:t>
            </w:r>
            <w:r w:rsidR="735ECF7C" w:rsidRPr="6DC99AC3">
              <w:rPr>
                <w:color w:val="4D5156"/>
                <w:sz w:val="21"/>
                <w:szCs w:val="21"/>
              </w:rPr>
              <w:t>—</w:t>
            </w:r>
            <w:r w:rsidR="00B460E7" w:rsidRPr="6DC99AC3">
              <w:rPr>
                <w:rFonts w:ascii="Calibri" w:eastAsia="Calibri" w:hAnsi="Calibri" w:cs="Calibri"/>
              </w:rPr>
              <w:t xml:space="preserve"> carezca de un diagnóstico inicial sobre el que se sustenten las medidas propuestas. No se pueden dar soluciones sin identificar las causas del problema”</w:t>
            </w:r>
            <w:r w:rsidR="15153F44" w:rsidRPr="6DC99AC3">
              <w:rPr>
                <w:rFonts w:ascii="Calibri" w:eastAsia="Calibri" w:hAnsi="Calibri" w:cs="Calibri"/>
              </w:rPr>
              <w:t>,</w:t>
            </w:r>
            <w:r w:rsidR="00B460E7" w:rsidRPr="6DC99AC3">
              <w:rPr>
                <w:rFonts w:ascii="Calibri" w:eastAsia="Calibri" w:hAnsi="Calibri" w:cs="Calibri"/>
              </w:rPr>
              <w:t xml:space="preserve"> </w:t>
            </w:r>
            <w:r w:rsidR="000030B7" w:rsidRPr="6DC99AC3">
              <w:rPr>
                <w:rFonts w:ascii="Calibri" w:eastAsia="Calibri" w:hAnsi="Calibri" w:cs="Calibri"/>
              </w:rPr>
              <w:t>añaden</w:t>
            </w:r>
            <w:r w:rsidR="00B460E7" w:rsidRPr="6DC99AC3">
              <w:rPr>
                <w:rFonts w:ascii="Calibri" w:eastAsia="Calibri" w:hAnsi="Calibri" w:cs="Calibri"/>
              </w:rPr>
              <w:t xml:space="preserve">. </w:t>
            </w:r>
          </w:p>
          <w:p w14:paraId="5040CAA8" w14:textId="2D6D11B0" w:rsidR="003F4867" w:rsidRDefault="2CCF72A3" w:rsidP="6DC99AC3">
            <w:pPr>
              <w:spacing w:after="160" w:line="240" w:lineRule="auto"/>
              <w:jc w:val="both"/>
              <w:rPr>
                <w:rFonts w:ascii="Calibri" w:eastAsia="Calibri" w:hAnsi="Calibri" w:cs="Calibri"/>
              </w:rPr>
            </w:pPr>
            <w:r w:rsidRPr="6DC99AC3">
              <w:rPr>
                <w:rFonts w:ascii="Calibri" w:eastAsia="Calibri" w:hAnsi="Calibri" w:cs="Calibri"/>
              </w:rPr>
              <w:t>L</w:t>
            </w:r>
            <w:r w:rsidR="00B460E7" w:rsidRPr="6DC99AC3">
              <w:rPr>
                <w:rFonts w:ascii="Calibri" w:eastAsia="Calibri" w:hAnsi="Calibri" w:cs="Calibri"/>
              </w:rPr>
              <w:t xml:space="preserve">a Comisión </w:t>
            </w:r>
            <w:r w:rsidR="4E485CF7" w:rsidRPr="6DC99AC3">
              <w:rPr>
                <w:rFonts w:ascii="Calibri" w:eastAsia="Calibri" w:hAnsi="Calibri" w:cs="Calibri"/>
              </w:rPr>
              <w:t>“</w:t>
            </w:r>
            <w:r w:rsidR="00B460E7" w:rsidRPr="6DC99AC3">
              <w:rPr>
                <w:rFonts w:ascii="Calibri" w:eastAsia="Calibri" w:hAnsi="Calibri" w:cs="Calibri"/>
              </w:rPr>
              <w:t>ha fracasado</w:t>
            </w:r>
            <w:r w:rsidR="179675B7" w:rsidRPr="6DC99AC3">
              <w:rPr>
                <w:rFonts w:ascii="Calibri" w:eastAsia="Calibri" w:hAnsi="Calibri" w:cs="Calibri"/>
              </w:rPr>
              <w:t>”, señalan,</w:t>
            </w:r>
            <w:r w:rsidR="00B460E7" w:rsidRPr="6DC99AC3">
              <w:rPr>
                <w:rFonts w:ascii="Calibri" w:eastAsia="Calibri" w:hAnsi="Calibri" w:cs="Calibri"/>
              </w:rPr>
              <w:t xml:space="preserve"> a la hora de evaluar las políticas sanitarias de la última década, </w:t>
            </w:r>
            <w:r w:rsidR="55FA47B6" w:rsidRPr="6DC99AC3">
              <w:rPr>
                <w:rFonts w:ascii="Calibri" w:eastAsia="Calibri" w:hAnsi="Calibri" w:cs="Calibri"/>
              </w:rPr>
              <w:t>“</w:t>
            </w:r>
            <w:r w:rsidR="00B460E7" w:rsidRPr="6DC99AC3">
              <w:rPr>
                <w:rFonts w:ascii="Calibri" w:eastAsia="Calibri" w:hAnsi="Calibri" w:cs="Calibri"/>
              </w:rPr>
              <w:t>marcadas por la austeridad y el impulso de modelos privatizadores</w:t>
            </w:r>
            <w:r w:rsidR="319F9783" w:rsidRPr="6DC99AC3">
              <w:rPr>
                <w:rFonts w:ascii="Calibri" w:eastAsia="Calibri" w:hAnsi="Calibri" w:cs="Calibri"/>
              </w:rPr>
              <w:t>”</w:t>
            </w:r>
            <w:r w:rsidR="00B460E7" w:rsidRPr="6DC99AC3">
              <w:rPr>
                <w:rFonts w:ascii="Calibri" w:eastAsia="Calibri" w:hAnsi="Calibri" w:cs="Calibri"/>
              </w:rPr>
              <w:t>. En consecuencia, e</w:t>
            </w:r>
            <w:r w:rsidR="003F4867" w:rsidRPr="6DC99AC3">
              <w:rPr>
                <w:rFonts w:ascii="Calibri" w:eastAsia="Calibri" w:hAnsi="Calibri" w:cs="Calibri"/>
              </w:rPr>
              <w:t xml:space="preserve">l Dictamen definitivo que habrá de guiar las reformas </w:t>
            </w:r>
            <w:r w:rsidR="063ABB34" w:rsidRPr="6DC99AC3">
              <w:rPr>
                <w:rFonts w:ascii="Calibri" w:eastAsia="Calibri" w:hAnsi="Calibri" w:cs="Calibri"/>
              </w:rPr>
              <w:t>necesarias del Sistema Nacional de Salud</w:t>
            </w:r>
            <w:r w:rsidR="58719CF7" w:rsidRPr="6DC99AC3">
              <w:rPr>
                <w:rFonts w:ascii="Calibri" w:eastAsia="Calibri" w:hAnsi="Calibri" w:cs="Calibri"/>
              </w:rPr>
              <w:t xml:space="preserve"> </w:t>
            </w:r>
            <w:r w:rsidR="003F4867" w:rsidRPr="6DC99AC3">
              <w:rPr>
                <w:rFonts w:ascii="Calibri" w:eastAsia="Calibri" w:hAnsi="Calibri" w:cs="Calibri"/>
              </w:rPr>
              <w:t>durante los próximos meses está marcado por la ambigüedad y la falta de compromisos explícitos en materias clave para garantizar una sanidad pública y universal de calidad</w:t>
            </w:r>
            <w:r w:rsidR="48B27C8B" w:rsidRPr="6DC99AC3">
              <w:rPr>
                <w:rFonts w:ascii="Calibri" w:eastAsia="Calibri" w:hAnsi="Calibri" w:cs="Calibri"/>
              </w:rPr>
              <w:t>, afirman las organizaciones</w:t>
            </w:r>
            <w:r w:rsidR="003F4867" w:rsidRPr="6DC99AC3">
              <w:rPr>
                <w:rFonts w:ascii="Calibri" w:eastAsia="Calibri" w:hAnsi="Calibri" w:cs="Calibri"/>
              </w:rPr>
              <w:t xml:space="preserve">. </w:t>
            </w:r>
          </w:p>
          <w:p w14:paraId="00000013" w14:textId="62AD65E1" w:rsidR="00B70C6B" w:rsidRDefault="00B460E7" w:rsidP="6DC99AC3">
            <w:pPr>
              <w:spacing w:after="160" w:line="240" w:lineRule="auto"/>
              <w:jc w:val="both"/>
              <w:rPr>
                <w:rFonts w:ascii="Calibri" w:eastAsia="Calibri" w:hAnsi="Calibri" w:cs="Calibri"/>
                <w:b/>
                <w:bCs/>
              </w:rPr>
            </w:pPr>
            <w:r w:rsidRPr="6DC99AC3">
              <w:rPr>
                <w:rFonts w:ascii="Calibri" w:eastAsia="Calibri" w:hAnsi="Calibri" w:cs="Calibri"/>
              </w:rPr>
              <w:t xml:space="preserve">Aún quedan meses por delante para </w:t>
            </w:r>
            <w:r w:rsidR="000030B7" w:rsidRPr="6DC99AC3">
              <w:rPr>
                <w:rFonts w:ascii="Calibri" w:eastAsia="Calibri" w:hAnsi="Calibri" w:cs="Calibri"/>
              </w:rPr>
              <w:t xml:space="preserve">adoptar las medidas de refuerzo necesarias para devolver nuestra Sanidad al lugar que le corresponde como pilar fundamental del Estado Social, pero para ello es imprescindible </w:t>
            </w:r>
            <w:r w:rsidR="00BE1BB4" w:rsidRPr="6DC99AC3">
              <w:rPr>
                <w:rFonts w:ascii="Calibri" w:eastAsia="Calibri" w:hAnsi="Calibri" w:cs="Calibri"/>
              </w:rPr>
              <w:t>una mayor audacia y compromiso por parte de nuestras políticas y nuestros políticos</w:t>
            </w:r>
            <w:r w:rsidR="64309981" w:rsidRPr="6DC99AC3">
              <w:rPr>
                <w:rFonts w:ascii="Calibri" w:eastAsia="Calibri" w:hAnsi="Calibri" w:cs="Calibri"/>
              </w:rPr>
              <w:t xml:space="preserve">.  </w:t>
            </w:r>
          </w:p>
          <w:p w14:paraId="00000014" w14:textId="4AC4EE57" w:rsidR="00B70C6B" w:rsidRDefault="00BE1BB4" w:rsidP="6DC99AC3">
            <w:pPr>
              <w:spacing w:after="160" w:line="240" w:lineRule="auto"/>
              <w:jc w:val="both"/>
              <w:rPr>
                <w:rFonts w:ascii="Calibri" w:eastAsia="Calibri" w:hAnsi="Calibri" w:cs="Calibri"/>
                <w:b/>
                <w:bCs/>
                <w:u w:val="single"/>
              </w:rPr>
            </w:pPr>
            <w:r w:rsidRPr="6DC99AC3">
              <w:rPr>
                <w:rFonts w:ascii="Calibri" w:eastAsia="Calibri" w:hAnsi="Calibri" w:cs="Calibri"/>
                <w:b/>
                <w:bCs/>
                <w:u w:val="single"/>
              </w:rPr>
              <w:t>Sin compromisos claros en materia de financiación</w:t>
            </w:r>
          </w:p>
          <w:p w14:paraId="00000015" w14:textId="7897F57F" w:rsidR="00B70C6B" w:rsidRDefault="00BE1BB4">
            <w:pPr>
              <w:spacing w:after="160" w:line="240" w:lineRule="auto"/>
              <w:jc w:val="both"/>
              <w:rPr>
                <w:rFonts w:ascii="Calibri" w:eastAsia="Calibri" w:hAnsi="Calibri" w:cs="Calibri"/>
              </w:rPr>
            </w:pPr>
            <w:r w:rsidRPr="6DC99AC3">
              <w:rPr>
                <w:rFonts w:ascii="Calibri" w:eastAsia="Calibri" w:hAnsi="Calibri" w:cs="Calibri"/>
              </w:rPr>
              <w:t xml:space="preserve">Ningún refuerzo de la sanidad es viable sin </w:t>
            </w:r>
            <w:r w:rsidR="49AEC031" w:rsidRPr="6DC99AC3">
              <w:rPr>
                <w:rFonts w:ascii="Calibri" w:eastAsia="Calibri" w:hAnsi="Calibri" w:cs="Calibri"/>
              </w:rPr>
              <w:t>el consecuente respaldo económico</w:t>
            </w:r>
            <w:r w:rsidRPr="6DC99AC3">
              <w:rPr>
                <w:rFonts w:ascii="Calibri" w:eastAsia="Calibri" w:hAnsi="Calibri" w:cs="Calibri"/>
              </w:rPr>
              <w:t xml:space="preserve">. </w:t>
            </w:r>
            <w:r w:rsidR="004B294F" w:rsidRPr="6DC99AC3">
              <w:rPr>
                <w:rFonts w:ascii="Calibri" w:eastAsia="Calibri" w:hAnsi="Calibri" w:cs="Calibri"/>
              </w:rPr>
              <w:t>Sin embargo, el apartado referido a la financiación del Sistema Nacional de Salud destaca por su falta de compromisos específicos. En ese sentido</w:t>
            </w:r>
            <w:r w:rsidR="007611D5" w:rsidRPr="6DC99AC3">
              <w:rPr>
                <w:rFonts w:ascii="Calibri" w:eastAsia="Calibri" w:hAnsi="Calibri" w:cs="Calibri"/>
              </w:rPr>
              <w:t>, las organizaciones</w:t>
            </w:r>
            <w:r w:rsidR="004B294F" w:rsidRPr="6DC99AC3">
              <w:rPr>
                <w:rFonts w:ascii="Calibri" w:eastAsia="Calibri" w:hAnsi="Calibri" w:cs="Calibri"/>
              </w:rPr>
              <w:t xml:space="preserve"> señalan que:</w:t>
            </w:r>
          </w:p>
          <w:p w14:paraId="00000016" w14:textId="036CEDD6" w:rsidR="00B70C6B" w:rsidRDefault="004B294F">
            <w:pPr>
              <w:numPr>
                <w:ilvl w:val="0"/>
                <w:numId w:val="7"/>
              </w:numPr>
              <w:spacing w:after="160" w:line="240" w:lineRule="auto"/>
              <w:jc w:val="both"/>
            </w:pPr>
            <w:r w:rsidRPr="6DC99AC3">
              <w:rPr>
                <w:rFonts w:ascii="Calibri" w:eastAsia="Calibri" w:hAnsi="Calibri" w:cs="Calibri"/>
                <w:b/>
                <w:bCs/>
              </w:rPr>
              <w:lastRenderedPageBreak/>
              <w:t>Vincular el aumento del presupuesto sanitario al PIB es un error.</w:t>
            </w:r>
            <w:r w:rsidRPr="6DC99AC3">
              <w:rPr>
                <w:rFonts w:ascii="Calibri" w:eastAsia="Calibri" w:hAnsi="Calibri" w:cs="Calibri"/>
              </w:rPr>
              <w:t xml:space="preserve"> Las organizaciones firmantes consideran que este criterio es inadecuado, puesto que se expone a que en épocas de recesión suponga una importante disminución de la dotación presupuestaria. Por el contrario, apuestan por un criterio basado en euros</w:t>
            </w:r>
            <w:r w:rsidR="3A6EBF15" w:rsidRPr="6DC99AC3">
              <w:rPr>
                <w:rFonts w:ascii="Calibri" w:eastAsia="Calibri" w:hAnsi="Calibri" w:cs="Calibri"/>
              </w:rPr>
              <w:t>,</w:t>
            </w:r>
            <w:r w:rsidRPr="6DC99AC3">
              <w:rPr>
                <w:rFonts w:ascii="Calibri" w:eastAsia="Calibri" w:hAnsi="Calibri" w:cs="Calibri"/>
              </w:rPr>
              <w:t xml:space="preserve"> por persona y año, estableciendo como objetivo situarnos en el promedio de la UE a final de legislatura</w:t>
            </w:r>
            <w:r w:rsidR="51084C5C" w:rsidRPr="6DC99AC3">
              <w:rPr>
                <w:rFonts w:ascii="Calibri" w:eastAsia="Calibri" w:hAnsi="Calibri" w:cs="Calibri"/>
              </w:rPr>
              <w:t>. En número</w:t>
            </w:r>
            <w:r w:rsidR="799B72D6" w:rsidRPr="6DC99AC3">
              <w:rPr>
                <w:rFonts w:ascii="Calibri" w:eastAsia="Calibri" w:hAnsi="Calibri" w:cs="Calibri"/>
              </w:rPr>
              <w:t>s</w:t>
            </w:r>
            <w:r w:rsidR="51084C5C" w:rsidRPr="6DC99AC3">
              <w:rPr>
                <w:rFonts w:ascii="Calibri" w:eastAsia="Calibri" w:hAnsi="Calibri" w:cs="Calibri"/>
              </w:rPr>
              <w:t xml:space="preserve"> absolutos, este aumento se traduce en </w:t>
            </w:r>
            <w:r w:rsidRPr="6DC99AC3">
              <w:rPr>
                <w:rFonts w:ascii="Calibri" w:eastAsia="Calibri" w:hAnsi="Calibri" w:cs="Calibri"/>
              </w:rPr>
              <w:t>1000 euros</w:t>
            </w:r>
            <w:r w:rsidR="5B4E5DD0" w:rsidRPr="6DC99AC3">
              <w:rPr>
                <w:rFonts w:ascii="Calibri" w:eastAsia="Calibri" w:hAnsi="Calibri" w:cs="Calibri"/>
              </w:rPr>
              <w:t xml:space="preserve"> </w:t>
            </w:r>
            <w:r w:rsidR="128960B1" w:rsidRPr="6DC99AC3">
              <w:rPr>
                <w:rFonts w:ascii="Calibri" w:eastAsia="Calibri" w:hAnsi="Calibri" w:cs="Calibri"/>
              </w:rPr>
              <w:t xml:space="preserve">más </w:t>
            </w:r>
            <w:r w:rsidRPr="6DC99AC3">
              <w:rPr>
                <w:rFonts w:ascii="Calibri" w:eastAsia="Calibri" w:hAnsi="Calibri" w:cs="Calibri"/>
              </w:rPr>
              <w:t>por persona/año respecto al gasto actual.</w:t>
            </w:r>
          </w:p>
          <w:p w14:paraId="00000017" w14:textId="0754470A" w:rsidR="00B70C6B" w:rsidRDefault="004B294F">
            <w:pPr>
              <w:numPr>
                <w:ilvl w:val="0"/>
                <w:numId w:val="7"/>
              </w:numPr>
              <w:spacing w:after="160" w:line="240" w:lineRule="auto"/>
              <w:jc w:val="both"/>
            </w:pPr>
            <w:r w:rsidRPr="5E20EFB6">
              <w:rPr>
                <w:rFonts w:ascii="Calibri" w:eastAsia="Calibri" w:hAnsi="Calibri" w:cs="Calibri"/>
                <w:b/>
                <w:bCs/>
              </w:rPr>
              <w:t xml:space="preserve">Se debería asignar un porcentaje del presupuesto en salud a áreas infradotadas. </w:t>
            </w:r>
            <w:r w:rsidRPr="5E20EFB6">
              <w:rPr>
                <w:rFonts w:ascii="Calibri" w:eastAsia="Calibri" w:hAnsi="Calibri" w:cs="Calibri"/>
              </w:rPr>
              <w:t>En concreto</w:t>
            </w:r>
            <w:r w:rsidRPr="5E20EFB6">
              <w:rPr>
                <w:rFonts w:ascii="Calibri" w:eastAsia="Calibri" w:hAnsi="Calibri" w:cs="Calibri"/>
                <w:b/>
                <w:bCs/>
              </w:rPr>
              <w:t xml:space="preserve">, </w:t>
            </w:r>
            <w:r w:rsidRPr="5E20EFB6">
              <w:rPr>
                <w:rFonts w:ascii="Calibri" w:eastAsia="Calibri" w:hAnsi="Calibri" w:cs="Calibri"/>
              </w:rPr>
              <w:t>un 25% del presupuesto público a Atención Primaria; un 2,5%</w:t>
            </w:r>
            <w:r w:rsidR="1E5ED73F" w:rsidRPr="5E20EFB6">
              <w:rPr>
                <w:rFonts w:ascii="Calibri" w:eastAsia="Calibri" w:hAnsi="Calibri" w:cs="Calibri"/>
              </w:rPr>
              <w:t>,</w:t>
            </w:r>
            <w:r w:rsidR="7BF17BBD" w:rsidRPr="5E20EFB6">
              <w:rPr>
                <w:rFonts w:ascii="Calibri" w:eastAsia="Calibri" w:hAnsi="Calibri" w:cs="Calibri"/>
              </w:rPr>
              <w:t xml:space="preserve"> </w:t>
            </w:r>
            <w:r w:rsidRPr="5E20EFB6">
              <w:rPr>
                <w:rFonts w:ascii="Calibri" w:eastAsia="Calibri" w:hAnsi="Calibri" w:cs="Calibri"/>
              </w:rPr>
              <w:t>a Salud P</w:t>
            </w:r>
            <w:r w:rsidR="369A0E84" w:rsidRPr="5E20EFB6">
              <w:rPr>
                <w:rFonts w:ascii="Calibri" w:eastAsia="Calibri" w:hAnsi="Calibri" w:cs="Calibri"/>
              </w:rPr>
              <w:t>ú</w:t>
            </w:r>
            <w:r w:rsidRPr="5E20EFB6">
              <w:rPr>
                <w:rFonts w:ascii="Calibri" w:eastAsia="Calibri" w:hAnsi="Calibri" w:cs="Calibri"/>
              </w:rPr>
              <w:t>blica; y un 2%</w:t>
            </w:r>
            <w:r w:rsidR="3F572EFE" w:rsidRPr="5E20EFB6">
              <w:rPr>
                <w:rFonts w:ascii="Calibri" w:eastAsia="Calibri" w:hAnsi="Calibri" w:cs="Calibri"/>
              </w:rPr>
              <w:t>,</w:t>
            </w:r>
            <w:r w:rsidRPr="5E20EFB6">
              <w:rPr>
                <w:rFonts w:ascii="Calibri" w:eastAsia="Calibri" w:hAnsi="Calibri" w:cs="Calibri"/>
              </w:rPr>
              <w:t xml:space="preserve"> a investigación en salud. Tres áreas que han resultado esenciales</w:t>
            </w:r>
            <w:r w:rsidR="0C371066" w:rsidRPr="5E20EFB6">
              <w:rPr>
                <w:rFonts w:ascii="Calibri" w:eastAsia="Calibri" w:hAnsi="Calibri" w:cs="Calibri"/>
              </w:rPr>
              <w:t xml:space="preserve"> </w:t>
            </w:r>
            <w:r w:rsidRPr="5E20EFB6">
              <w:rPr>
                <w:rFonts w:ascii="Calibri" w:eastAsia="Calibri" w:hAnsi="Calibri" w:cs="Calibri"/>
              </w:rPr>
              <w:t>en la actual pandemia.</w:t>
            </w:r>
          </w:p>
          <w:p w14:paraId="00000019" w14:textId="0C6D6D6A" w:rsidR="00B70C6B" w:rsidRDefault="004B294F" w:rsidP="6DC99AC3">
            <w:pPr>
              <w:numPr>
                <w:ilvl w:val="0"/>
                <w:numId w:val="7"/>
              </w:numPr>
              <w:spacing w:after="160" w:line="240" w:lineRule="auto"/>
              <w:jc w:val="both"/>
              <w:rPr>
                <w:b/>
                <w:bCs/>
              </w:rPr>
            </w:pPr>
            <w:r w:rsidRPr="6DC99AC3">
              <w:rPr>
                <w:rFonts w:ascii="Calibri" w:eastAsia="Calibri" w:hAnsi="Calibri" w:cs="Calibri"/>
                <w:b/>
                <w:bCs/>
              </w:rPr>
              <w:t>El fondo de reconstrucción debería priorizar</w:t>
            </w:r>
            <w:r w:rsidR="5D8F1D22" w:rsidRPr="6DC99AC3">
              <w:rPr>
                <w:rFonts w:ascii="Calibri" w:eastAsia="Calibri" w:hAnsi="Calibri" w:cs="Calibri"/>
                <w:b/>
                <w:bCs/>
              </w:rPr>
              <w:t xml:space="preserve"> </w:t>
            </w:r>
            <w:r w:rsidRPr="6DC99AC3">
              <w:rPr>
                <w:rFonts w:ascii="Calibri" w:eastAsia="Calibri" w:hAnsi="Calibri" w:cs="Calibri"/>
              </w:rPr>
              <w:t>la contratación de personal de Atención Primaria y aumentar la creación de camas de media y larga estancia en centros de gestión pública.</w:t>
            </w:r>
          </w:p>
          <w:p w14:paraId="0000001A" w14:textId="06DB959B" w:rsidR="00B70C6B" w:rsidRDefault="00BE1BB4" w:rsidP="6DC99AC3">
            <w:pPr>
              <w:spacing w:after="160" w:line="240" w:lineRule="auto"/>
              <w:jc w:val="both"/>
              <w:rPr>
                <w:rFonts w:ascii="Calibri" w:eastAsia="Calibri" w:hAnsi="Calibri" w:cs="Calibri"/>
                <w:b/>
                <w:bCs/>
                <w:u w:val="single"/>
              </w:rPr>
            </w:pPr>
            <w:r w:rsidRPr="6DC99AC3">
              <w:rPr>
                <w:rFonts w:ascii="Calibri" w:eastAsia="Calibri" w:hAnsi="Calibri" w:cs="Calibri"/>
                <w:b/>
                <w:bCs/>
                <w:u w:val="single"/>
              </w:rPr>
              <w:t>Garantizar la plena universalidad es urgente, más aun en tiempos de pandemia</w:t>
            </w:r>
            <w:r w:rsidRPr="6DC99AC3">
              <w:rPr>
                <w:rFonts w:ascii="Calibri" w:eastAsia="Calibri" w:hAnsi="Calibri" w:cs="Calibri"/>
                <w:b/>
                <w:bCs/>
              </w:rPr>
              <w:t xml:space="preserve"> </w:t>
            </w:r>
          </w:p>
          <w:p w14:paraId="0000001B" w14:textId="77777777" w:rsidR="00B70C6B" w:rsidRDefault="004B294F">
            <w:pPr>
              <w:spacing w:after="160" w:line="240" w:lineRule="auto"/>
              <w:jc w:val="both"/>
              <w:rPr>
                <w:rFonts w:ascii="Calibri" w:eastAsia="Calibri" w:hAnsi="Calibri" w:cs="Calibri"/>
              </w:rPr>
            </w:pPr>
            <w:r>
              <w:rPr>
                <w:rFonts w:ascii="Calibri" w:eastAsia="Calibri" w:hAnsi="Calibri" w:cs="Calibri"/>
              </w:rPr>
              <w:t>La Comisión contempla como un objetivo el refuerzo y consolidación de la universalidad de la atención sanitaria, pero sus conclusiones adolecen de dos importantes omisiones:</w:t>
            </w:r>
          </w:p>
          <w:p w14:paraId="0000001C" w14:textId="0073F21F" w:rsidR="00B70C6B" w:rsidRDefault="004B294F" w:rsidP="5E20EFB6">
            <w:pPr>
              <w:numPr>
                <w:ilvl w:val="0"/>
                <w:numId w:val="8"/>
              </w:numPr>
              <w:spacing w:after="160" w:line="240" w:lineRule="auto"/>
              <w:jc w:val="both"/>
            </w:pPr>
            <w:r w:rsidRPr="5E20EFB6">
              <w:rPr>
                <w:rFonts w:ascii="Calibri" w:eastAsia="Calibri" w:hAnsi="Calibri" w:cs="Calibri"/>
                <w:b/>
                <w:bCs/>
              </w:rPr>
              <w:t xml:space="preserve">El carácter de urgencia de la medida: </w:t>
            </w:r>
            <w:r w:rsidR="00BE1BB4" w:rsidRPr="00BD290D">
              <w:rPr>
                <w:rFonts w:ascii="Calibri" w:eastAsia="Calibri" w:hAnsi="Calibri" w:cs="Calibri"/>
                <w:bCs/>
              </w:rPr>
              <w:t>supeditar esta medida a un futur</w:t>
            </w:r>
            <w:r w:rsidR="00BE1BB4">
              <w:rPr>
                <w:rFonts w:ascii="Calibri" w:eastAsia="Calibri" w:hAnsi="Calibri" w:cs="Calibri"/>
                <w:bCs/>
              </w:rPr>
              <w:t>o</w:t>
            </w:r>
            <w:r w:rsidR="00BE1BB4" w:rsidRPr="00BD290D">
              <w:rPr>
                <w:rFonts w:ascii="Calibri" w:eastAsia="Calibri" w:hAnsi="Calibri" w:cs="Calibri"/>
                <w:bCs/>
              </w:rPr>
              <w:t xml:space="preserve"> </w:t>
            </w:r>
            <w:r w:rsidR="00BE1BB4">
              <w:rPr>
                <w:rFonts w:ascii="Calibri" w:eastAsia="Calibri" w:hAnsi="Calibri" w:cs="Calibri"/>
                <w:bCs/>
              </w:rPr>
              <w:t>Proyecto de Ley supone poner en riesgo la salud de muchas personas que siguen excluidas de la atención sanitaria</w:t>
            </w:r>
            <w:r w:rsidR="268BAA92" w:rsidRPr="5E20EFB6">
              <w:rPr>
                <w:rFonts w:ascii="Calibri" w:eastAsia="Calibri" w:hAnsi="Calibri" w:cs="Calibri"/>
              </w:rPr>
              <w:t>.</w:t>
            </w:r>
          </w:p>
          <w:p w14:paraId="0000001E" w14:textId="3DB62B6E" w:rsidR="00B70C6B" w:rsidRDefault="004B294F" w:rsidP="6DC99AC3">
            <w:pPr>
              <w:numPr>
                <w:ilvl w:val="0"/>
                <w:numId w:val="8"/>
              </w:numPr>
              <w:spacing w:after="160" w:line="240" w:lineRule="auto"/>
              <w:jc w:val="both"/>
            </w:pPr>
            <w:r w:rsidRPr="6DC99AC3">
              <w:rPr>
                <w:rFonts w:ascii="Calibri" w:eastAsia="Calibri" w:hAnsi="Calibri" w:cs="Calibri"/>
                <w:b/>
                <w:bCs/>
              </w:rPr>
              <w:t xml:space="preserve">Dar respuesta a la especial vulnerabilidad de las personas ascendientes reagrupadas. </w:t>
            </w:r>
            <w:r w:rsidRPr="6DC99AC3">
              <w:rPr>
                <w:rFonts w:ascii="Calibri" w:eastAsia="Calibri" w:hAnsi="Calibri" w:cs="Calibri"/>
              </w:rPr>
              <w:t xml:space="preserve">Es decir, </w:t>
            </w:r>
            <w:r w:rsidR="568F38F6" w:rsidRPr="6DC99AC3">
              <w:rPr>
                <w:rFonts w:ascii="Calibri" w:eastAsia="Calibri" w:hAnsi="Calibri" w:cs="Calibri"/>
              </w:rPr>
              <w:t>incluir</w:t>
            </w:r>
            <w:r w:rsidRPr="6DC99AC3">
              <w:rPr>
                <w:rFonts w:ascii="Calibri" w:eastAsia="Calibri" w:hAnsi="Calibri" w:cs="Calibri"/>
                <w:b/>
                <w:bCs/>
              </w:rPr>
              <w:t xml:space="preserve"> </w:t>
            </w:r>
            <w:r w:rsidRPr="6DC99AC3">
              <w:rPr>
                <w:rFonts w:ascii="Calibri" w:eastAsia="Calibri" w:hAnsi="Calibri" w:cs="Calibri"/>
              </w:rPr>
              <w:t>a la</w:t>
            </w:r>
            <w:r w:rsidR="00BE1BB4" w:rsidRPr="6DC99AC3">
              <w:rPr>
                <w:rFonts w:ascii="Calibri" w:eastAsia="Calibri" w:hAnsi="Calibri" w:cs="Calibri"/>
              </w:rPr>
              <w:t>s</w:t>
            </w:r>
            <w:r w:rsidRPr="6DC99AC3">
              <w:rPr>
                <w:rFonts w:ascii="Calibri" w:eastAsia="Calibri" w:hAnsi="Calibri" w:cs="Calibri"/>
              </w:rPr>
              <w:t xml:space="preserve"> personas mayores que llegan a España fruto de un proceso de reagrupación familiar, personas que, por su avanzada edad</w:t>
            </w:r>
            <w:r w:rsidR="521729F2" w:rsidRPr="6DC99AC3">
              <w:rPr>
                <w:rFonts w:ascii="Calibri" w:eastAsia="Calibri" w:hAnsi="Calibri" w:cs="Calibri"/>
              </w:rPr>
              <w:t>,</w:t>
            </w:r>
            <w:r w:rsidRPr="6DC99AC3">
              <w:rPr>
                <w:rFonts w:ascii="Calibri" w:eastAsia="Calibri" w:hAnsi="Calibri" w:cs="Calibri"/>
              </w:rPr>
              <w:t xml:space="preserve"> constituyen un colectivo de riesgo ante la actual pandemia</w:t>
            </w:r>
            <w:r w:rsidR="00BE1BB4" w:rsidRPr="6DC99AC3">
              <w:rPr>
                <w:rFonts w:ascii="Calibri" w:eastAsia="Calibri" w:hAnsi="Calibri" w:cs="Calibri"/>
              </w:rPr>
              <w:t xml:space="preserve"> y que a día de hoy carecen de todo derecho a la atención sanitaria</w:t>
            </w:r>
            <w:r w:rsidRPr="6DC99AC3">
              <w:rPr>
                <w:rFonts w:ascii="Calibri" w:eastAsia="Calibri" w:hAnsi="Calibri" w:cs="Calibri"/>
              </w:rPr>
              <w:t>.</w:t>
            </w:r>
          </w:p>
          <w:p w14:paraId="0000001F" w14:textId="42C00385" w:rsidR="00B70C6B" w:rsidRDefault="004B294F" w:rsidP="6DC99AC3">
            <w:pPr>
              <w:spacing w:after="160" w:line="240" w:lineRule="auto"/>
              <w:jc w:val="both"/>
              <w:rPr>
                <w:rFonts w:ascii="Calibri" w:eastAsia="Calibri" w:hAnsi="Calibri" w:cs="Calibri"/>
                <w:b/>
                <w:bCs/>
                <w:u w:val="single"/>
              </w:rPr>
            </w:pPr>
            <w:r w:rsidRPr="6DC99AC3">
              <w:rPr>
                <w:rFonts w:ascii="Calibri" w:eastAsia="Calibri" w:hAnsi="Calibri" w:cs="Calibri"/>
                <w:b/>
                <w:bCs/>
                <w:u w:val="single"/>
              </w:rPr>
              <w:t>La importancia de la prevención</w:t>
            </w:r>
            <w:r w:rsidR="00877DEB" w:rsidRPr="6DC99AC3">
              <w:rPr>
                <w:rFonts w:ascii="Calibri" w:eastAsia="Calibri" w:hAnsi="Calibri" w:cs="Calibri"/>
                <w:b/>
                <w:bCs/>
                <w:u w:val="single"/>
              </w:rPr>
              <w:t xml:space="preserve"> en la salud pú</w:t>
            </w:r>
            <w:r w:rsidR="00BE1BB4" w:rsidRPr="6DC99AC3">
              <w:rPr>
                <w:rFonts w:ascii="Calibri" w:eastAsia="Calibri" w:hAnsi="Calibri" w:cs="Calibri"/>
                <w:b/>
                <w:bCs/>
                <w:u w:val="single"/>
              </w:rPr>
              <w:t>blica</w:t>
            </w:r>
          </w:p>
          <w:p w14:paraId="00000020" w14:textId="5BB4F0D1" w:rsidR="00B70C6B" w:rsidRDefault="004B294F">
            <w:pPr>
              <w:spacing w:after="160" w:line="240" w:lineRule="auto"/>
              <w:jc w:val="both"/>
              <w:rPr>
                <w:rFonts w:ascii="Calibri" w:eastAsia="Calibri" w:hAnsi="Calibri" w:cs="Calibri"/>
              </w:rPr>
            </w:pPr>
            <w:r w:rsidRPr="5E20EFB6">
              <w:rPr>
                <w:rFonts w:ascii="Calibri" w:eastAsia="Calibri" w:hAnsi="Calibri" w:cs="Calibri"/>
              </w:rPr>
              <w:t xml:space="preserve">La actual crisis generada por la COVID-19 ha puesto de manifiesto que en materia de </w:t>
            </w:r>
            <w:r w:rsidR="00877DEB">
              <w:rPr>
                <w:rFonts w:ascii="Calibri" w:eastAsia="Calibri" w:hAnsi="Calibri" w:cs="Calibri"/>
              </w:rPr>
              <w:t>s</w:t>
            </w:r>
            <w:r w:rsidRPr="5E20EFB6">
              <w:rPr>
                <w:rFonts w:ascii="Calibri" w:eastAsia="Calibri" w:hAnsi="Calibri" w:cs="Calibri"/>
              </w:rPr>
              <w:t xml:space="preserve">alud pública también </w:t>
            </w:r>
            <w:r w:rsidR="00877DEB">
              <w:rPr>
                <w:rFonts w:ascii="Calibri" w:eastAsia="Calibri" w:hAnsi="Calibri" w:cs="Calibri"/>
              </w:rPr>
              <w:t xml:space="preserve">se </w:t>
            </w:r>
            <w:r w:rsidRPr="5E20EFB6">
              <w:rPr>
                <w:rFonts w:ascii="Calibri" w:eastAsia="Calibri" w:hAnsi="Calibri" w:cs="Calibri"/>
              </w:rPr>
              <w:t xml:space="preserve">debe </w:t>
            </w:r>
            <w:r w:rsidR="00877DEB">
              <w:rPr>
                <w:rFonts w:ascii="Calibri" w:eastAsia="Calibri" w:hAnsi="Calibri" w:cs="Calibri"/>
              </w:rPr>
              <w:t>actuar sobre</w:t>
            </w:r>
            <w:r w:rsidRPr="5E20EFB6">
              <w:rPr>
                <w:rFonts w:ascii="Calibri" w:eastAsia="Calibri" w:hAnsi="Calibri" w:cs="Calibri"/>
              </w:rPr>
              <w:t xml:space="preserve"> aquellas condiciones sociales y materiales que ejercen de determinantes de la salud. En ese sentido, </w:t>
            </w:r>
            <w:r w:rsidR="00877DEB">
              <w:rPr>
                <w:rFonts w:ascii="Calibri" w:eastAsia="Calibri" w:hAnsi="Calibri" w:cs="Calibri"/>
              </w:rPr>
              <w:t>las organizaciones consideran imprescindible</w:t>
            </w:r>
            <w:r w:rsidRPr="5E20EFB6">
              <w:rPr>
                <w:rFonts w:ascii="Calibri" w:eastAsia="Calibri" w:hAnsi="Calibri" w:cs="Calibri"/>
              </w:rPr>
              <w:t>:</w:t>
            </w:r>
          </w:p>
          <w:p w14:paraId="00000022" w14:textId="77777777" w:rsidR="00B70C6B" w:rsidRDefault="004B294F">
            <w:pPr>
              <w:numPr>
                <w:ilvl w:val="0"/>
                <w:numId w:val="6"/>
              </w:numPr>
              <w:spacing w:after="160" w:line="240" w:lineRule="auto"/>
              <w:jc w:val="both"/>
              <w:rPr>
                <w:u w:val="single"/>
              </w:rPr>
            </w:pPr>
            <w:r w:rsidRPr="5E20EFB6">
              <w:rPr>
                <w:rFonts w:ascii="Calibri" w:eastAsia="Calibri" w:hAnsi="Calibri" w:cs="Calibri"/>
              </w:rPr>
              <w:t>Promover la  coordinación de los servicios de salud pública con los servicios asistenciales.</w:t>
            </w:r>
          </w:p>
          <w:p w14:paraId="00000023" w14:textId="4DEBA506" w:rsidR="00B70C6B" w:rsidRDefault="004B294F" w:rsidP="5E20EFB6">
            <w:pPr>
              <w:numPr>
                <w:ilvl w:val="0"/>
                <w:numId w:val="6"/>
              </w:numPr>
              <w:spacing w:after="160" w:line="240" w:lineRule="auto"/>
              <w:jc w:val="both"/>
              <w:rPr>
                <w:u w:val="single"/>
              </w:rPr>
            </w:pPr>
            <w:r w:rsidRPr="5E20EFB6">
              <w:rPr>
                <w:rFonts w:ascii="Calibri" w:eastAsia="Calibri" w:hAnsi="Calibri" w:cs="Calibri"/>
              </w:rPr>
              <w:t>Crear, potenciar y desarrollar un Observatorio del Sistema Nacional de Salud del SNS con especial énfasis en el análisis de desigualdades y el estudio de determinantes sociales.</w:t>
            </w:r>
          </w:p>
          <w:p w14:paraId="00000024" w14:textId="77777777" w:rsidR="00B70C6B" w:rsidRDefault="004B294F">
            <w:pPr>
              <w:numPr>
                <w:ilvl w:val="0"/>
                <w:numId w:val="6"/>
              </w:numPr>
              <w:spacing w:after="160" w:line="240" w:lineRule="auto"/>
              <w:jc w:val="both"/>
              <w:rPr>
                <w:u w:val="single"/>
              </w:rPr>
            </w:pPr>
            <w:r w:rsidRPr="5E20EFB6">
              <w:rPr>
                <w:rFonts w:ascii="Calibri" w:eastAsia="Calibri" w:hAnsi="Calibri" w:cs="Calibri"/>
              </w:rPr>
              <w:t>Estimular la investigación en Salud Pública.</w:t>
            </w:r>
          </w:p>
          <w:p w14:paraId="00000025" w14:textId="7EB9AE66" w:rsidR="00B70C6B" w:rsidRDefault="004B294F" w:rsidP="5C527C88">
            <w:pPr>
              <w:numPr>
                <w:ilvl w:val="0"/>
                <w:numId w:val="6"/>
              </w:numPr>
              <w:spacing w:after="160" w:line="240" w:lineRule="auto"/>
              <w:jc w:val="both"/>
              <w:rPr>
                <w:b/>
                <w:bCs/>
              </w:rPr>
            </w:pPr>
            <w:r w:rsidRPr="5C527C88">
              <w:rPr>
                <w:rFonts w:ascii="Calibri" w:eastAsia="Calibri" w:hAnsi="Calibri" w:cs="Calibri"/>
              </w:rPr>
              <w:t xml:space="preserve">Potenciar el Sistema de Información Sanitaria incorporando indicadores de resultados en </w:t>
            </w:r>
            <w:r w:rsidR="50988268" w:rsidRPr="5C527C88">
              <w:rPr>
                <w:rFonts w:ascii="Calibri" w:eastAsia="Calibri" w:hAnsi="Calibri" w:cs="Calibri"/>
              </w:rPr>
              <w:t>s</w:t>
            </w:r>
            <w:r w:rsidRPr="5C527C88">
              <w:rPr>
                <w:rFonts w:ascii="Calibri" w:eastAsia="Calibri" w:hAnsi="Calibri" w:cs="Calibri"/>
              </w:rPr>
              <w:t>alud</w:t>
            </w:r>
            <w:r w:rsidR="223430C7" w:rsidRPr="5C527C88">
              <w:rPr>
                <w:rFonts w:ascii="Calibri" w:eastAsia="Calibri" w:hAnsi="Calibri" w:cs="Calibri"/>
              </w:rPr>
              <w:t>.</w:t>
            </w:r>
          </w:p>
          <w:p w14:paraId="00000028" w14:textId="5DC13073" w:rsidR="00B70C6B" w:rsidRDefault="004B294F" w:rsidP="6DC99AC3">
            <w:pPr>
              <w:numPr>
                <w:ilvl w:val="0"/>
                <w:numId w:val="6"/>
              </w:numPr>
              <w:spacing w:after="160" w:line="240" w:lineRule="auto"/>
              <w:jc w:val="both"/>
              <w:rPr>
                <w:u w:val="single"/>
              </w:rPr>
            </w:pPr>
            <w:r w:rsidRPr="6DC99AC3">
              <w:rPr>
                <w:rFonts w:ascii="Calibri" w:eastAsia="Calibri" w:hAnsi="Calibri" w:cs="Calibri"/>
              </w:rPr>
              <w:t xml:space="preserve">Impulsar la </w:t>
            </w:r>
            <w:r w:rsidR="64103AD8" w:rsidRPr="6DC99AC3">
              <w:rPr>
                <w:rFonts w:ascii="Calibri" w:eastAsia="Calibri" w:hAnsi="Calibri" w:cs="Calibri"/>
              </w:rPr>
              <w:t>e</w:t>
            </w:r>
            <w:r w:rsidRPr="6DC99AC3">
              <w:rPr>
                <w:rFonts w:ascii="Calibri" w:eastAsia="Calibri" w:hAnsi="Calibri" w:cs="Calibri"/>
              </w:rPr>
              <w:t xml:space="preserve">strategia de </w:t>
            </w:r>
            <w:r w:rsidR="59AB5DA6" w:rsidRPr="6DC99AC3">
              <w:rPr>
                <w:rFonts w:ascii="Calibri" w:eastAsia="Calibri" w:hAnsi="Calibri" w:cs="Calibri"/>
              </w:rPr>
              <w:t>s</w:t>
            </w:r>
            <w:r w:rsidRPr="6DC99AC3">
              <w:rPr>
                <w:rFonts w:ascii="Calibri" w:eastAsia="Calibri" w:hAnsi="Calibri" w:cs="Calibri"/>
              </w:rPr>
              <w:t xml:space="preserve">eguridad del </w:t>
            </w:r>
            <w:r w:rsidR="33C80E96" w:rsidRPr="6DC99AC3">
              <w:rPr>
                <w:rFonts w:ascii="Calibri" w:eastAsia="Calibri" w:hAnsi="Calibri" w:cs="Calibri"/>
              </w:rPr>
              <w:t>p</w:t>
            </w:r>
            <w:r w:rsidRPr="6DC99AC3">
              <w:rPr>
                <w:rFonts w:ascii="Calibri" w:eastAsia="Calibri" w:hAnsi="Calibri" w:cs="Calibri"/>
              </w:rPr>
              <w:t xml:space="preserve">aciente, las </w:t>
            </w:r>
            <w:r w:rsidR="3632259B" w:rsidRPr="6DC99AC3">
              <w:rPr>
                <w:rFonts w:ascii="Calibri" w:eastAsia="Calibri" w:hAnsi="Calibri" w:cs="Calibri"/>
              </w:rPr>
              <w:t>r</w:t>
            </w:r>
            <w:r w:rsidRPr="6DC99AC3">
              <w:rPr>
                <w:rFonts w:ascii="Calibri" w:eastAsia="Calibri" w:hAnsi="Calibri" w:cs="Calibri"/>
              </w:rPr>
              <w:t xml:space="preserve">ecomendaciones </w:t>
            </w:r>
            <w:r w:rsidR="61F18E49" w:rsidRPr="6DC99AC3">
              <w:rPr>
                <w:rFonts w:ascii="Calibri" w:eastAsia="Calibri" w:hAnsi="Calibri" w:cs="Calibri"/>
              </w:rPr>
              <w:t>“</w:t>
            </w:r>
            <w:r w:rsidRPr="6DC99AC3">
              <w:rPr>
                <w:rFonts w:ascii="Calibri" w:eastAsia="Calibri" w:hAnsi="Calibri" w:cs="Calibri"/>
              </w:rPr>
              <w:t>No hacer</w:t>
            </w:r>
            <w:r w:rsidR="622FCA3A" w:rsidRPr="6DC99AC3">
              <w:rPr>
                <w:rFonts w:ascii="Calibri" w:eastAsia="Calibri" w:hAnsi="Calibri" w:cs="Calibri"/>
              </w:rPr>
              <w:t>”</w:t>
            </w:r>
            <w:r w:rsidRPr="6DC99AC3">
              <w:rPr>
                <w:rFonts w:ascii="Calibri" w:eastAsia="Calibri" w:hAnsi="Calibri" w:cs="Calibri"/>
              </w:rPr>
              <w:t xml:space="preserve"> y la </w:t>
            </w:r>
            <w:r w:rsidR="72146F7D" w:rsidRPr="6DC99AC3">
              <w:rPr>
                <w:rFonts w:ascii="Calibri" w:eastAsia="Calibri" w:hAnsi="Calibri" w:cs="Calibri"/>
              </w:rPr>
              <w:t>e</w:t>
            </w:r>
            <w:r w:rsidRPr="6DC99AC3">
              <w:rPr>
                <w:rFonts w:ascii="Calibri" w:eastAsia="Calibri" w:hAnsi="Calibri" w:cs="Calibri"/>
              </w:rPr>
              <w:t xml:space="preserve">xcelencia </w:t>
            </w:r>
            <w:r w:rsidR="22A8E0E1" w:rsidRPr="6DC99AC3">
              <w:rPr>
                <w:rFonts w:ascii="Calibri" w:eastAsia="Calibri" w:hAnsi="Calibri" w:cs="Calibri"/>
              </w:rPr>
              <w:t>c</w:t>
            </w:r>
            <w:r w:rsidRPr="6DC99AC3">
              <w:rPr>
                <w:rFonts w:ascii="Calibri" w:eastAsia="Calibri" w:hAnsi="Calibri" w:cs="Calibri"/>
              </w:rPr>
              <w:t>línica</w:t>
            </w:r>
            <w:r w:rsidR="03AD9323" w:rsidRPr="6DC99AC3">
              <w:rPr>
                <w:rFonts w:ascii="Calibri" w:eastAsia="Calibri" w:hAnsi="Calibri" w:cs="Calibri"/>
              </w:rPr>
              <w:t>.</w:t>
            </w:r>
          </w:p>
          <w:p w14:paraId="00000029" w14:textId="7CFC50FE" w:rsidR="00B70C6B" w:rsidRDefault="00877DEB" w:rsidP="6DC99AC3">
            <w:pPr>
              <w:spacing w:after="160" w:line="240" w:lineRule="auto"/>
              <w:jc w:val="both"/>
              <w:rPr>
                <w:rFonts w:ascii="Calibri" w:eastAsia="Calibri" w:hAnsi="Calibri" w:cs="Calibri"/>
                <w:b/>
                <w:bCs/>
                <w:u w:val="single"/>
              </w:rPr>
            </w:pPr>
            <w:r w:rsidRPr="6DC99AC3">
              <w:rPr>
                <w:rFonts w:ascii="Calibri" w:eastAsia="Calibri" w:hAnsi="Calibri" w:cs="Calibri"/>
                <w:b/>
                <w:bCs/>
                <w:u w:val="single"/>
              </w:rPr>
              <w:t>Falta</w:t>
            </w:r>
            <w:r w:rsidR="0A91D5C9" w:rsidRPr="6DC99AC3">
              <w:rPr>
                <w:rFonts w:ascii="Calibri" w:eastAsia="Calibri" w:hAnsi="Calibri" w:cs="Calibri"/>
                <w:b/>
                <w:bCs/>
                <w:u w:val="single"/>
              </w:rPr>
              <w:t>n medidas</w:t>
            </w:r>
            <w:r w:rsidRPr="6DC99AC3">
              <w:rPr>
                <w:rFonts w:ascii="Calibri" w:eastAsia="Calibri" w:hAnsi="Calibri" w:cs="Calibri"/>
                <w:b/>
                <w:bCs/>
                <w:u w:val="single"/>
              </w:rPr>
              <w:t xml:space="preserve"> sobre p</w:t>
            </w:r>
            <w:r w:rsidR="004B294F" w:rsidRPr="6DC99AC3">
              <w:rPr>
                <w:rFonts w:ascii="Calibri" w:eastAsia="Calibri" w:hAnsi="Calibri" w:cs="Calibri"/>
                <w:b/>
                <w:bCs/>
                <w:u w:val="single"/>
              </w:rPr>
              <w:t>olítica farmacéutica, producción pública y propiedad intelectual en I+D en salud</w:t>
            </w:r>
          </w:p>
          <w:p w14:paraId="031A53D3" w14:textId="3F23593B" w:rsidR="00B70C6B" w:rsidRDefault="004B294F" w:rsidP="2432C46F">
            <w:pPr>
              <w:spacing w:after="160" w:line="240" w:lineRule="auto"/>
              <w:jc w:val="both"/>
              <w:rPr>
                <w:rFonts w:ascii="Calibri" w:eastAsia="Calibri" w:hAnsi="Calibri" w:cs="Calibri"/>
                <w:u w:val="single"/>
              </w:rPr>
            </w:pPr>
            <w:bookmarkStart w:id="0" w:name="_1fob9te" w:colFirst="0" w:colLast="0"/>
            <w:bookmarkEnd w:id="0"/>
            <w:r w:rsidRPr="5E20EFB6">
              <w:rPr>
                <w:rFonts w:ascii="Calibri" w:eastAsia="Calibri" w:hAnsi="Calibri" w:cs="Calibri"/>
              </w:rPr>
              <w:t>Tanto en materia de política farmacéutica como en lo referente a propiedad intelectual en la investigación y desarrollo de medicamentos, la Comisión de Reconstrucción ha perdido la oportunidad de profundizar en muchos cambios que son urgentes si</w:t>
            </w:r>
            <w:r w:rsidR="18643F69" w:rsidRPr="5E20EFB6">
              <w:rPr>
                <w:rFonts w:ascii="Calibri" w:eastAsia="Calibri" w:hAnsi="Calibri" w:cs="Calibri"/>
              </w:rPr>
              <w:t xml:space="preserve"> se quiere</w:t>
            </w:r>
            <w:r w:rsidRPr="5E20EFB6">
              <w:rPr>
                <w:rFonts w:ascii="Calibri" w:eastAsia="Calibri" w:hAnsi="Calibri" w:cs="Calibri"/>
              </w:rPr>
              <w:t xml:space="preserve"> asegurar el acceso y la asequibilidad de medicamentos y tecnologías sanitarias</w:t>
            </w:r>
            <w:r w:rsidR="50AF7B49" w:rsidRPr="5E20EFB6">
              <w:rPr>
                <w:rFonts w:ascii="Calibri" w:eastAsia="Calibri" w:hAnsi="Calibri" w:cs="Calibri"/>
              </w:rPr>
              <w:t>.</w:t>
            </w:r>
            <w:r w:rsidRPr="5E20EFB6">
              <w:rPr>
                <w:rFonts w:ascii="Calibri" w:eastAsia="Calibri" w:hAnsi="Calibri" w:cs="Calibri"/>
              </w:rPr>
              <w:t xml:space="preserve"> Se echan de menos</w:t>
            </w:r>
            <w:r w:rsidR="27E8E09B" w:rsidRPr="5E20EFB6">
              <w:rPr>
                <w:rFonts w:ascii="Calibri" w:eastAsia="Calibri" w:hAnsi="Calibri" w:cs="Calibri"/>
              </w:rPr>
              <w:t>:</w:t>
            </w:r>
          </w:p>
          <w:p w14:paraId="32108E9F" w14:textId="0F41069D" w:rsidR="00B70C6B" w:rsidRDefault="27E8E09B" w:rsidP="5E20EFB6">
            <w:pPr>
              <w:pStyle w:val="Prrafodelista"/>
              <w:numPr>
                <w:ilvl w:val="0"/>
                <w:numId w:val="3"/>
              </w:numPr>
              <w:spacing w:after="160" w:line="240" w:lineRule="auto"/>
              <w:jc w:val="both"/>
              <w:rPr>
                <w:rFonts w:ascii="Calibri" w:eastAsia="Calibri" w:hAnsi="Calibri" w:cs="Calibri"/>
              </w:rPr>
            </w:pPr>
            <w:r w:rsidRPr="5E20EFB6">
              <w:rPr>
                <w:rFonts w:ascii="Calibri" w:eastAsia="Calibri" w:hAnsi="Calibri" w:cs="Calibri"/>
              </w:rPr>
              <w:t xml:space="preserve">El </w:t>
            </w:r>
            <w:r w:rsidR="004B294F" w:rsidRPr="5E20EFB6">
              <w:rPr>
                <w:rFonts w:ascii="Calibri" w:eastAsia="Calibri" w:hAnsi="Calibri" w:cs="Calibri"/>
              </w:rPr>
              <w:t>compromis</w:t>
            </w:r>
            <w:r w:rsidR="64C448CE" w:rsidRPr="5E20EFB6">
              <w:rPr>
                <w:rFonts w:ascii="Calibri" w:eastAsia="Calibri" w:hAnsi="Calibri" w:cs="Calibri"/>
              </w:rPr>
              <w:t>o</w:t>
            </w:r>
            <w:r w:rsidR="004B294F" w:rsidRPr="5E20EFB6">
              <w:rPr>
                <w:rFonts w:ascii="Calibri" w:eastAsia="Calibri" w:hAnsi="Calibri" w:cs="Calibri"/>
              </w:rPr>
              <w:t xml:space="preserve"> para poner en marcha la necesaria reforma de los procesos de fijación de los precios de los medicamentos </w:t>
            </w:r>
            <w:r w:rsidR="004B294F" w:rsidRPr="5E20EFB6">
              <w:rPr>
                <w:color w:val="4D5156"/>
                <w:sz w:val="21"/>
                <w:szCs w:val="21"/>
                <w:highlight w:val="white"/>
              </w:rPr>
              <w:t>—</w:t>
            </w:r>
            <w:r w:rsidR="004B294F" w:rsidRPr="5E20EFB6">
              <w:rPr>
                <w:rFonts w:ascii="Calibri" w:eastAsia="Calibri" w:hAnsi="Calibri" w:cs="Calibri"/>
              </w:rPr>
              <w:t>especialmente en aquellos más novedosos y caros</w:t>
            </w:r>
            <w:r w:rsidR="004B294F" w:rsidRPr="5E20EFB6">
              <w:rPr>
                <w:color w:val="4D5156"/>
                <w:sz w:val="21"/>
                <w:szCs w:val="21"/>
                <w:highlight w:val="white"/>
              </w:rPr>
              <w:t>—</w:t>
            </w:r>
            <w:r w:rsidR="61E549A4" w:rsidRPr="5E20EFB6">
              <w:rPr>
                <w:color w:val="4D5156"/>
                <w:sz w:val="21"/>
                <w:szCs w:val="21"/>
                <w:highlight w:val="white"/>
              </w:rPr>
              <w:t>.</w:t>
            </w:r>
          </w:p>
          <w:p w14:paraId="61F7EEB2" w14:textId="5453DFD2" w:rsidR="00B70C6B" w:rsidRDefault="66C22B90" w:rsidP="5E20EFB6">
            <w:pPr>
              <w:pStyle w:val="Prrafodelista"/>
              <w:numPr>
                <w:ilvl w:val="0"/>
                <w:numId w:val="3"/>
              </w:numPr>
              <w:spacing w:after="160" w:line="240" w:lineRule="auto"/>
              <w:jc w:val="both"/>
              <w:rPr>
                <w:rFonts w:ascii="Calibri" w:eastAsia="Calibri" w:hAnsi="Calibri" w:cs="Calibri"/>
              </w:rPr>
            </w:pPr>
            <w:r w:rsidRPr="5E20EFB6">
              <w:rPr>
                <w:rFonts w:ascii="Calibri" w:eastAsia="Calibri" w:hAnsi="Calibri" w:cs="Calibri"/>
              </w:rPr>
              <w:t xml:space="preserve">Las </w:t>
            </w:r>
            <w:r w:rsidR="004B294F" w:rsidRPr="5E20EFB6">
              <w:rPr>
                <w:rFonts w:ascii="Calibri" w:eastAsia="Calibri" w:hAnsi="Calibri" w:cs="Calibri"/>
              </w:rPr>
              <w:t>medidas que contengan el aumento del gasto farmacéutico, especialmente el hospitalario</w:t>
            </w:r>
            <w:r w:rsidR="5020A6A1" w:rsidRPr="5E20EFB6">
              <w:rPr>
                <w:rFonts w:ascii="Calibri" w:eastAsia="Calibri" w:hAnsi="Calibri" w:cs="Calibri"/>
              </w:rPr>
              <w:t>.</w:t>
            </w:r>
          </w:p>
          <w:p w14:paraId="50307A6B" w14:textId="52184AA8" w:rsidR="00B70C6B" w:rsidRDefault="2B624CE1" w:rsidP="5E20EFB6">
            <w:pPr>
              <w:pStyle w:val="Prrafodelista"/>
              <w:numPr>
                <w:ilvl w:val="0"/>
                <w:numId w:val="3"/>
              </w:numPr>
              <w:spacing w:after="160" w:line="240" w:lineRule="auto"/>
              <w:jc w:val="both"/>
              <w:rPr>
                <w:rFonts w:ascii="Calibri" w:eastAsia="Calibri" w:hAnsi="Calibri" w:cs="Calibri"/>
              </w:rPr>
            </w:pPr>
            <w:r>
              <w:rPr>
                <w:rFonts w:ascii="Calibri" w:eastAsia="Calibri" w:hAnsi="Calibri" w:cs="Calibri"/>
              </w:rPr>
              <w:t>P</w:t>
            </w:r>
            <w:r w:rsidR="004B294F">
              <w:rPr>
                <w:rFonts w:ascii="Calibri" w:eastAsia="Calibri" w:hAnsi="Calibri" w:cs="Calibri"/>
              </w:rPr>
              <w:t xml:space="preserve">ropuestas concretas para impulsar la producción pública de fármacos y tecnologías sanitarias más allá de las terapias avanzadas. </w:t>
            </w:r>
          </w:p>
          <w:p w14:paraId="0000002C" w14:textId="227B9937" w:rsidR="00B70C6B" w:rsidRDefault="216FF513" w:rsidP="6DC99AC3">
            <w:pPr>
              <w:pStyle w:val="Prrafodelista"/>
              <w:numPr>
                <w:ilvl w:val="0"/>
                <w:numId w:val="3"/>
              </w:numPr>
              <w:spacing w:after="160" w:line="240" w:lineRule="auto"/>
              <w:jc w:val="both"/>
              <w:rPr>
                <w:rFonts w:ascii="Calibri" w:eastAsia="Calibri" w:hAnsi="Calibri" w:cs="Calibri"/>
              </w:rPr>
            </w:pPr>
            <w:r w:rsidRPr="6DC99AC3">
              <w:rPr>
                <w:rFonts w:ascii="Calibri" w:eastAsia="Calibri" w:hAnsi="Calibri" w:cs="Calibri"/>
              </w:rPr>
              <w:t xml:space="preserve">Una </w:t>
            </w:r>
            <w:r w:rsidR="004B294F" w:rsidRPr="6DC99AC3">
              <w:rPr>
                <w:rFonts w:ascii="Calibri" w:eastAsia="Calibri" w:hAnsi="Calibri" w:cs="Calibri"/>
              </w:rPr>
              <w:t>ciencia abierta y una innovación con licencias abiertas, no exclusivas y que los datos sean compartidos. Solo así</w:t>
            </w:r>
            <w:r w:rsidR="35DF0590" w:rsidRPr="6DC99AC3">
              <w:rPr>
                <w:rFonts w:ascii="Calibri" w:eastAsia="Calibri" w:hAnsi="Calibri" w:cs="Calibri"/>
              </w:rPr>
              <w:t>,</w:t>
            </w:r>
            <w:r w:rsidR="004B294F" w:rsidRPr="6DC99AC3">
              <w:rPr>
                <w:rFonts w:ascii="Calibri" w:eastAsia="Calibri" w:hAnsi="Calibri" w:cs="Calibri"/>
              </w:rPr>
              <w:t xml:space="preserve"> los posibles medicamentos o vacunas que se han desarrollado con inversión pública podrán ser accesibles para todas las personas que los necesiten, sin la barrera que supone a día de hoy la propiedad intelectual.</w:t>
            </w:r>
          </w:p>
          <w:p w14:paraId="0000002D" w14:textId="77777777" w:rsidR="00B70C6B" w:rsidRDefault="004B294F" w:rsidP="6DC99AC3">
            <w:pPr>
              <w:spacing w:after="160" w:line="240" w:lineRule="auto"/>
              <w:jc w:val="both"/>
              <w:rPr>
                <w:rFonts w:ascii="Calibri" w:eastAsia="Calibri" w:hAnsi="Calibri" w:cs="Calibri"/>
                <w:b/>
                <w:bCs/>
                <w:u w:val="single"/>
              </w:rPr>
            </w:pPr>
            <w:r w:rsidRPr="6DC99AC3">
              <w:rPr>
                <w:rFonts w:ascii="Calibri" w:eastAsia="Calibri" w:hAnsi="Calibri" w:cs="Calibri"/>
                <w:b/>
                <w:bCs/>
                <w:u w:val="single"/>
              </w:rPr>
              <w:t>No existen previsiones para proteger el SNS frente a las privatizaciones</w:t>
            </w:r>
          </w:p>
          <w:p w14:paraId="1D2C23E7" w14:textId="26068BE9" w:rsidR="00B70C6B" w:rsidRDefault="004B294F" w:rsidP="2432C46F">
            <w:pPr>
              <w:spacing w:after="160" w:line="240" w:lineRule="auto"/>
              <w:jc w:val="both"/>
              <w:rPr>
                <w:rFonts w:ascii="Calibri" w:eastAsia="Calibri" w:hAnsi="Calibri" w:cs="Calibri"/>
              </w:rPr>
            </w:pPr>
            <w:r w:rsidRPr="6DC99AC3">
              <w:rPr>
                <w:rFonts w:ascii="Calibri" w:eastAsia="Calibri" w:hAnsi="Calibri" w:cs="Calibri"/>
              </w:rPr>
              <w:lastRenderedPageBreak/>
              <w:t>La pandemia ha evidenciado la necesidad de aumentar los recursos de los centros sanitarios de gestión pública</w:t>
            </w:r>
            <w:r w:rsidR="66E33A97" w:rsidRPr="6DC99AC3">
              <w:rPr>
                <w:rFonts w:ascii="Calibri" w:eastAsia="Calibri" w:hAnsi="Calibri" w:cs="Calibri"/>
              </w:rPr>
              <w:t>, dado que han sido estos los ámbitos asistenciales sobre los que ha pivotado la gestión clínica de la misma</w:t>
            </w:r>
            <w:r w:rsidRPr="6DC99AC3">
              <w:rPr>
                <w:rFonts w:ascii="Calibri" w:eastAsia="Calibri" w:hAnsi="Calibri" w:cs="Calibri"/>
              </w:rPr>
              <w:t>.</w:t>
            </w:r>
            <w:r w:rsidR="6A02A586" w:rsidRPr="6DC99AC3">
              <w:rPr>
                <w:rFonts w:ascii="Calibri" w:eastAsia="Calibri" w:hAnsi="Calibri" w:cs="Calibri"/>
              </w:rPr>
              <w:t xml:space="preserve"> Según defienden las organizaciones firmantes</w:t>
            </w:r>
            <w:r w:rsidR="54600E8E" w:rsidRPr="6DC99AC3">
              <w:rPr>
                <w:rFonts w:ascii="Calibri" w:eastAsia="Calibri" w:hAnsi="Calibri" w:cs="Calibri"/>
              </w:rPr>
              <w:t>,</w:t>
            </w:r>
            <w:r w:rsidRPr="6DC99AC3">
              <w:rPr>
                <w:rFonts w:ascii="Calibri" w:eastAsia="Calibri" w:hAnsi="Calibri" w:cs="Calibri"/>
              </w:rPr>
              <w:t xml:space="preserve"> “</w:t>
            </w:r>
            <w:r w:rsidR="2FFF638B" w:rsidRPr="6DC99AC3">
              <w:rPr>
                <w:rFonts w:ascii="Calibri" w:eastAsia="Calibri" w:hAnsi="Calibri" w:cs="Calibri"/>
              </w:rPr>
              <w:t>e</w:t>
            </w:r>
            <w:r w:rsidRPr="6DC99AC3">
              <w:rPr>
                <w:rFonts w:ascii="Calibri" w:eastAsia="Calibri" w:hAnsi="Calibri" w:cs="Calibri"/>
              </w:rPr>
              <w:t xml:space="preserve">sta descapitalización del sector público no solo es consecuencia de los recortes presupuestarios de la última década, sino también por la apuesta por modelos privatizadores que derivan una importante parte de los escasos recursos hacia el sector privado. Estos modelos no solo </w:t>
            </w:r>
            <w:r w:rsidR="0371BAC5" w:rsidRPr="6DC99AC3">
              <w:rPr>
                <w:rFonts w:ascii="Calibri" w:eastAsia="Calibri" w:hAnsi="Calibri" w:cs="Calibri"/>
              </w:rPr>
              <w:t>se</w:t>
            </w:r>
            <w:r w:rsidRPr="6DC99AC3">
              <w:rPr>
                <w:rFonts w:ascii="Calibri" w:eastAsia="Calibri" w:hAnsi="Calibri" w:cs="Calibri"/>
              </w:rPr>
              <w:t xml:space="preserve"> han demostrado más </w:t>
            </w:r>
            <w:r w:rsidR="5B7B4228" w:rsidRPr="6DC99AC3">
              <w:rPr>
                <w:rFonts w:ascii="Calibri" w:eastAsia="Calibri" w:hAnsi="Calibri" w:cs="Calibri"/>
              </w:rPr>
              <w:t>in</w:t>
            </w:r>
            <w:r w:rsidRPr="6DC99AC3">
              <w:rPr>
                <w:rFonts w:ascii="Calibri" w:eastAsia="Calibri" w:hAnsi="Calibri" w:cs="Calibri"/>
              </w:rPr>
              <w:t>eficientes que la gestión pública directa, también profundizan en la inequidad, debilitando el derecho a la protección de la salud de todas las personas”</w:t>
            </w:r>
            <w:r w:rsidR="34DA8358" w:rsidRPr="6DC99AC3">
              <w:rPr>
                <w:rFonts w:ascii="Calibri" w:eastAsia="Calibri" w:hAnsi="Calibri" w:cs="Calibri"/>
              </w:rPr>
              <w:t>.</w:t>
            </w:r>
          </w:p>
          <w:p w14:paraId="1A08C211" w14:textId="0361BB3C" w:rsidR="00B70C6B" w:rsidRDefault="004B294F" w:rsidP="2432C46F">
            <w:pPr>
              <w:spacing w:after="160" w:line="240" w:lineRule="auto"/>
              <w:jc w:val="both"/>
              <w:rPr>
                <w:rFonts w:ascii="Calibri" w:eastAsia="Calibri" w:hAnsi="Calibri" w:cs="Calibri"/>
              </w:rPr>
            </w:pPr>
            <w:r w:rsidRPr="5E20EFB6">
              <w:rPr>
                <w:rFonts w:ascii="Calibri" w:eastAsia="Calibri" w:hAnsi="Calibri" w:cs="Calibri"/>
              </w:rPr>
              <w:t xml:space="preserve">Ante esta situación, </w:t>
            </w:r>
            <w:r w:rsidR="3152F775" w:rsidRPr="5E20EFB6">
              <w:rPr>
                <w:rFonts w:ascii="Calibri" w:eastAsia="Calibri" w:hAnsi="Calibri" w:cs="Calibri"/>
              </w:rPr>
              <w:t xml:space="preserve">estas </w:t>
            </w:r>
            <w:r w:rsidRPr="5E20EFB6">
              <w:rPr>
                <w:rFonts w:ascii="Calibri" w:eastAsia="Calibri" w:hAnsi="Calibri" w:cs="Calibri"/>
              </w:rPr>
              <w:t>organizaciones solicitan que</w:t>
            </w:r>
            <w:r w:rsidR="437E565D" w:rsidRPr="5E20EFB6">
              <w:rPr>
                <w:rFonts w:ascii="Calibri" w:eastAsia="Calibri" w:hAnsi="Calibri" w:cs="Calibri"/>
              </w:rPr>
              <w:t>:</w:t>
            </w:r>
            <w:r w:rsidRPr="5E20EFB6">
              <w:rPr>
                <w:rFonts w:ascii="Calibri" w:eastAsia="Calibri" w:hAnsi="Calibri" w:cs="Calibri"/>
              </w:rPr>
              <w:t xml:space="preserve"> </w:t>
            </w:r>
          </w:p>
          <w:p w14:paraId="1D1793AF" w14:textId="4902CD1E" w:rsidR="00B70C6B" w:rsidRDefault="77B8FAB4" w:rsidP="5E20EFB6">
            <w:pPr>
              <w:pStyle w:val="Prrafodelista"/>
              <w:numPr>
                <w:ilvl w:val="0"/>
                <w:numId w:val="2"/>
              </w:numPr>
              <w:spacing w:after="160" w:line="240" w:lineRule="auto"/>
              <w:jc w:val="both"/>
              <w:rPr>
                <w:rFonts w:ascii="Calibri" w:eastAsia="Calibri" w:hAnsi="Calibri" w:cs="Calibri"/>
              </w:rPr>
            </w:pPr>
            <w:r w:rsidRPr="5E20EFB6">
              <w:rPr>
                <w:rFonts w:ascii="Calibri" w:eastAsia="Calibri" w:hAnsi="Calibri" w:cs="Calibri"/>
              </w:rPr>
              <w:t>S</w:t>
            </w:r>
            <w:r w:rsidR="004B294F" w:rsidRPr="5E20EFB6">
              <w:rPr>
                <w:rFonts w:ascii="Calibri" w:eastAsia="Calibri" w:hAnsi="Calibri" w:cs="Calibri"/>
              </w:rPr>
              <w:t>e garantice la finalización de las privatizaciones de centros y servicios sanitarios</w:t>
            </w:r>
            <w:r w:rsidR="6A646E69" w:rsidRPr="5E20EFB6">
              <w:rPr>
                <w:rFonts w:ascii="Calibri" w:eastAsia="Calibri" w:hAnsi="Calibri" w:cs="Calibri"/>
              </w:rPr>
              <w:t>,</w:t>
            </w:r>
            <w:r w:rsidR="004B294F" w:rsidRPr="5E20EFB6">
              <w:rPr>
                <w:rFonts w:ascii="Calibri" w:eastAsia="Calibri" w:hAnsi="Calibri" w:cs="Calibri"/>
              </w:rPr>
              <w:t xml:space="preserve"> y se establezcan sistemas que garanticen la evaluación de los procesos privatizadores</w:t>
            </w:r>
            <w:r w:rsidR="433D307C" w:rsidRPr="5E20EFB6">
              <w:rPr>
                <w:rFonts w:ascii="Calibri" w:eastAsia="Calibri" w:hAnsi="Calibri" w:cs="Calibri"/>
              </w:rPr>
              <w:t>.</w:t>
            </w:r>
          </w:p>
          <w:p w14:paraId="6DD57395" w14:textId="02D54004" w:rsidR="00B70C6B" w:rsidRDefault="53CF6B75" w:rsidP="5E20EFB6">
            <w:pPr>
              <w:pStyle w:val="Prrafodelista"/>
              <w:numPr>
                <w:ilvl w:val="0"/>
                <w:numId w:val="2"/>
              </w:numPr>
              <w:spacing w:after="160" w:line="240" w:lineRule="auto"/>
              <w:jc w:val="both"/>
              <w:rPr>
                <w:rFonts w:ascii="Calibri" w:eastAsia="Calibri" w:hAnsi="Calibri" w:cs="Calibri"/>
              </w:rPr>
            </w:pPr>
            <w:r w:rsidRPr="5E20EFB6">
              <w:rPr>
                <w:rFonts w:ascii="Calibri" w:eastAsia="Calibri" w:hAnsi="Calibri" w:cs="Calibri"/>
              </w:rPr>
              <w:t>E</w:t>
            </w:r>
            <w:r w:rsidR="004B294F" w:rsidRPr="5E20EFB6">
              <w:rPr>
                <w:rFonts w:ascii="Calibri" w:eastAsia="Calibri" w:hAnsi="Calibri" w:cs="Calibri"/>
              </w:rPr>
              <w:t>l estricto control del cumplimiento de los contratos y concesiones</w:t>
            </w:r>
            <w:r w:rsidR="433D307C" w:rsidRPr="5E20EFB6">
              <w:rPr>
                <w:rFonts w:ascii="Calibri" w:eastAsia="Calibri" w:hAnsi="Calibri" w:cs="Calibri"/>
              </w:rPr>
              <w:t>.</w:t>
            </w:r>
          </w:p>
          <w:p w14:paraId="388B5307" w14:textId="395D0A32" w:rsidR="77E84D25" w:rsidRDefault="77E84D25" w:rsidP="6DC99AC3">
            <w:pPr>
              <w:pStyle w:val="Prrafodelista"/>
              <w:numPr>
                <w:ilvl w:val="0"/>
                <w:numId w:val="2"/>
              </w:numPr>
              <w:spacing w:after="160" w:line="240" w:lineRule="auto"/>
              <w:jc w:val="both"/>
              <w:rPr>
                <w:rFonts w:ascii="Calibri" w:eastAsia="Calibri" w:hAnsi="Calibri" w:cs="Calibri"/>
              </w:rPr>
            </w:pPr>
            <w:r w:rsidRPr="6DC99AC3">
              <w:rPr>
                <w:rFonts w:ascii="Calibri" w:eastAsia="Calibri" w:hAnsi="Calibri" w:cs="Calibri"/>
              </w:rPr>
              <w:t>U</w:t>
            </w:r>
            <w:r w:rsidR="004B294F" w:rsidRPr="6DC99AC3">
              <w:rPr>
                <w:rFonts w:ascii="Calibri" w:eastAsia="Calibri" w:hAnsi="Calibri" w:cs="Calibri"/>
              </w:rPr>
              <w:t>na legislación que favorezca la recuperación de lo privatizado y un calendario para llevarla a cabo.</w:t>
            </w:r>
          </w:p>
          <w:p w14:paraId="63EF8A5E" w14:textId="08A76E36" w:rsidR="6DC99AC3" w:rsidRDefault="6DC99AC3" w:rsidP="6DC99AC3">
            <w:pPr>
              <w:spacing w:after="160" w:line="240" w:lineRule="auto"/>
              <w:ind w:left="360"/>
              <w:jc w:val="both"/>
              <w:rPr>
                <w:rFonts w:ascii="Calibri" w:eastAsia="Calibri" w:hAnsi="Calibri" w:cs="Calibri"/>
              </w:rPr>
            </w:pPr>
          </w:p>
          <w:p w14:paraId="00000031" w14:textId="77777777" w:rsidR="00B70C6B" w:rsidRDefault="004B294F">
            <w:pPr>
              <w:spacing w:after="160" w:line="240" w:lineRule="auto"/>
              <w:jc w:val="both"/>
              <w:rPr>
                <w:rFonts w:ascii="Calibri" w:eastAsia="Calibri" w:hAnsi="Calibri" w:cs="Calibri"/>
                <w:b/>
              </w:rPr>
            </w:pPr>
            <w:r>
              <w:rPr>
                <w:rFonts w:ascii="Calibri" w:eastAsia="Calibri" w:hAnsi="Calibri" w:cs="Calibri"/>
                <w:b/>
              </w:rPr>
              <w:t xml:space="preserve">Organizaciones firmantes </w:t>
            </w:r>
          </w:p>
          <w:p w14:paraId="00000032" w14:textId="7C99260B" w:rsidR="00B70C6B" w:rsidRPr="00823114" w:rsidRDefault="00823114" w:rsidP="00823114">
            <w:pPr>
              <w:rPr>
                <w:rFonts w:ascii="Calibri" w:eastAsia="Calibri" w:hAnsi="Calibri" w:cs="Calibri"/>
              </w:rPr>
            </w:pPr>
            <w:r w:rsidRPr="00823114">
              <w:rPr>
                <w:rFonts w:ascii="Calibri" w:eastAsia="Calibri" w:hAnsi="Calibri" w:cs="Calibri"/>
              </w:rPr>
              <w:t>Federación de Asociaciones para la Defensa de la Sanidad Pública -FADSP-,  Médicos del Mundo, Salud por Derecho, semFYC, Asociación de Enfermería Comunitaria, Federación de Asociaciones de Enfermería comunitaria y Atención Primaria -FAECAP,</w:t>
            </w:r>
            <w:r>
              <w:rPr>
                <w:rFonts w:ascii="Calibri" w:eastAsia="Calibri" w:hAnsi="Calibri" w:cs="Calibri"/>
              </w:rPr>
              <w:t xml:space="preserve"> </w:t>
            </w:r>
            <w:r w:rsidR="004B294F" w:rsidRPr="53AEFE2A">
              <w:rPr>
                <w:rFonts w:ascii="Calibri" w:eastAsia="Calibri" w:hAnsi="Calibri" w:cs="Calibri"/>
              </w:rPr>
              <w:t>(este documento está abierto a la incorporación de nuevas organizaciones que deseen sumarse a la iniciativa).</w:t>
            </w:r>
          </w:p>
          <w:p w14:paraId="00000033" w14:textId="77777777" w:rsidR="00B70C6B" w:rsidRDefault="00B70C6B">
            <w:pPr>
              <w:spacing w:line="240" w:lineRule="auto"/>
              <w:rPr>
                <w:rFonts w:ascii="Calibri" w:eastAsia="Calibri" w:hAnsi="Calibri" w:cs="Calibri"/>
              </w:rPr>
            </w:pPr>
          </w:p>
          <w:p w14:paraId="00000034" w14:textId="77777777" w:rsidR="00B70C6B" w:rsidRDefault="004B294F">
            <w:pPr>
              <w:spacing w:line="240" w:lineRule="auto"/>
              <w:rPr>
                <w:rFonts w:ascii="Calibri" w:eastAsia="Calibri" w:hAnsi="Calibri" w:cs="Calibri"/>
                <w:b/>
              </w:rPr>
            </w:pPr>
            <w:r>
              <w:rPr>
                <w:rFonts w:ascii="Calibri" w:eastAsia="Calibri" w:hAnsi="Calibri" w:cs="Calibri"/>
                <w:b/>
              </w:rPr>
              <w:t>Contacto de prensa</w:t>
            </w:r>
          </w:p>
          <w:p w14:paraId="00000035" w14:textId="77777777" w:rsidR="00B70C6B" w:rsidRDefault="00B70C6B">
            <w:pPr>
              <w:spacing w:line="240" w:lineRule="auto"/>
              <w:rPr>
                <w:rFonts w:ascii="Calibri" w:eastAsia="Calibri" w:hAnsi="Calibri" w:cs="Calibri"/>
              </w:rPr>
            </w:pPr>
          </w:p>
          <w:p w14:paraId="00000036" w14:textId="77777777" w:rsidR="00B70C6B" w:rsidRDefault="004B294F">
            <w:pPr>
              <w:numPr>
                <w:ilvl w:val="0"/>
                <w:numId w:val="4"/>
              </w:numPr>
              <w:spacing w:line="240" w:lineRule="auto"/>
            </w:pPr>
            <w:r>
              <w:rPr>
                <w:rFonts w:ascii="Calibri" w:eastAsia="Calibri" w:hAnsi="Calibri" w:cs="Calibri"/>
              </w:rPr>
              <w:t>Sociedad Española de Medicina de Familia y Comunitaria - SEMFYC </w:t>
            </w:r>
          </w:p>
          <w:p w14:paraId="00000037" w14:textId="77777777" w:rsidR="00B70C6B" w:rsidRDefault="004B294F">
            <w:pPr>
              <w:spacing w:line="240" w:lineRule="auto"/>
              <w:rPr>
                <w:rFonts w:ascii="Calibri" w:eastAsia="Calibri" w:hAnsi="Calibri" w:cs="Calibri"/>
                <w:color w:val="1155CC"/>
                <w:u w:val="single"/>
              </w:rPr>
            </w:pPr>
            <w:r>
              <w:rPr>
                <w:rFonts w:ascii="Calibri" w:eastAsia="Calibri" w:hAnsi="Calibri" w:cs="Calibri"/>
              </w:rPr>
              <w:t xml:space="preserve">        Anna Serrano +34 679 50 99 41 </w:t>
            </w:r>
            <w:hyperlink r:id="rId11">
              <w:r>
                <w:rPr>
                  <w:rFonts w:ascii="Calibri" w:eastAsia="Calibri" w:hAnsi="Calibri" w:cs="Calibri"/>
                  <w:color w:val="1155CC"/>
                  <w:u w:val="single"/>
                </w:rPr>
                <w:t>comunicacion@semfyc.es</w:t>
              </w:r>
            </w:hyperlink>
          </w:p>
          <w:p w14:paraId="0000003B" w14:textId="77777777" w:rsidR="00B70C6B" w:rsidRDefault="00B70C6B" w:rsidP="00BD290D">
            <w:pPr>
              <w:spacing w:line="240" w:lineRule="auto"/>
              <w:ind w:firstLine="360"/>
              <w:rPr>
                <w:rFonts w:ascii="Calibri" w:eastAsia="Calibri" w:hAnsi="Calibri" w:cs="Calibri"/>
              </w:rPr>
            </w:pPr>
          </w:p>
        </w:tc>
      </w:tr>
      <w:tr w:rsidR="00B70C6B" w14:paraId="672A6659" w14:textId="77777777" w:rsidTr="53AEFE2A">
        <w:tc>
          <w:tcPr>
            <w:tcW w:w="10450" w:type="dxa"/>
          </w:tcPr>
          <w:p w14:paraId="0000003C" w14:textId="090CAE37" w:rsidR="00B70C6B" w:rsidRDefault="00B70C6B">
            <w:pPr>
              <w:spacing w:line="240" w:lineRule="auto"/>
              <w:jc w:val="center"/>
              <w:rPr>
                <w:rFonts w:ascii="Calibri" w:eastAsia="Calibri" w:hAnsi="Calibri" w:cs="Calibri"/>
                <w:b/>
                <w:sz w:val="28"/>
                <w:szCs w:val="28"/>
              </w:rPr>
            </w:pPr>
          </w:p>
        </w:tc>
      </w:tr>
    </w:tbl>
    <w:p w14:paraId="0000003D" w14:textId="77777777" w:rsidR="00B70C6B" w:rsidRDefault="00B70C6B">
      <w:pPr>
        <w:spacing w:line="240" w:lineRule="auto"/>
        <w:rPr>
          <w:rFonts w:ascii="Calibri" w:eastAsia="Calibri" w:hAnsi="Calibri" w:cs="Calibri"/>
        </w:rPr>
      </w:pPr>
    </w:p>
    <w:p w14:paraId="0000003E" w14:textId="77777777" w:rsidR="00B70C6B" w:rsidRDefault="00B70C6B"/>
    <w:sectPr w:rsidR="00B70C6B">
      <w:headerReference w:type="default" r:id="rId12"/>
      <w:pgSz w:w="11909" w:h="16834"/>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338C" w14:textId="77777777" w:rsidR="00F34F63" w:rsidRDefault="00F34F63">
      <w:pPr>
        <w:spacing w:line="240" w:lineRule="auto"/>
      </w:pPr>
      <w:r>
        <w:separator/>
      </w:r>
    </w:p>
  </w:endnote>
  <w:endnote w:type="continuationSeparator" w:id="0">
    <w:p w14:paraId="565E1D49" w14:textId="77777777" w:rsidR="00F34F63" w:rsidRDefault="00F34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F9A4" w14:textId="77777777" w:rsidR="00F34F63" w:rsidRDefault="00F34F63">
      <w:pPr>
        <w:spacing w:line="240" w:lineRule="auto"/>
      </w:pPr>
      <w:r>
        <w:separator/>
      </w:r>
    </w:p>
  </w:footnote>
  <w:footnote w:type="continuationSeparator" w:id="0">
    <w:p w14:paraId="057A9217" w14:textId="77777777" w:rsidR="00F34F63" w:rsidRDefault="00F34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B70C6B" w:rsidRDefault="00B70C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DD9"/>
    <w:multiLevelType w:val="hybridMultilevel"/>
    <w:tmpl w:val="CC162600"/>
    <w:lvl w:ilvl="0" w:tplc="3416A8BE">
      <w:start w:val="1"/>
      <w:numFmt w:val="bullet"/>
      <w:lvlText w:val=""/>
      <w:lvlJc w:val="left"/>
      <w:pPr>
        <w:ind w:left="720" w:hanging="360"/>
      </w:pPr>
      <w:rPr>
        <w:rFonts w:ascii="Symbol" w:hAnsi="Symbol" w:hint="default"/>
      </w:rPr>
    </w:lvl>
    <w:lvl w:ilvl="1" w:tplc="2478540C">
      <w:start w:val="1"/>
      <w:numFmt w:val="bullet"/>
      <w:lvlText w:val="o"/>
      <w:lvlJc w:val="left"/>
      <w:pPr>
        <w:ind w:left="1440" w:hanging="360"/>
      </w:pPr>
      <w:rPr>
        <w:rFonts w:ascii="Courier New" w:hAnsi="Courier New" w:hint="default"/>
      </w:rPr>
    </w:lvl>
    <w:lvl w:ilvl="2" w:tplc="A3F47456">
      <w:start w:val="1"/>
      <w:numFmt w:val="bullet"/>
      <w:lvlText w:val=""/>
      <w:lvlJc w:val="left"/>
      <w:pPr>
        <w:ind w:left="2160" w:hanging="360"/>
      </w:pPr>
      <w:rPr>
        <w:rFonts w:ascii="Wingdings" w:hAnsi="Wingdings" w:hint="default"/>
      </w:rPr>
    </w:lvl>
    <w:lvl w:ilvl="3" w:tplc="98741974">
      <w:start w:val="1"/>
      <w:numFmt w:val="bullet"/>
      <w:lvlText w:val=""/>
      <w:lvlJc w:val="left"/>
      <w:pPr>
        <w:ind w:left="2880" w:hanging="360"/>
      </w:pPr>
      <w:rPr>
        <w:rFonts w:ascii="Symbol" w:hAnsi="Symbol" w:hint="default"/>
      </w:rPr>
    </w:lvl>
    <w:lvl w:ilvl="4" w:tplc="FC8638C4">
      <w:start w:val="1"/>
      <w:numFmt w:val="bullet"/>
      <w:lvlText w:val="o"/>
      <w:lvlJc w:val="left"/>
      <w:pPr>
        <w:ind w:left="3600" w:hanging="360"/>
      </w:pPr>
      <w:rPr>
        <w:rFonts w:ascii="Courier New" w:hAnsi="Courier New" w:hint="default"/>
      </w:rPr>
    </w:lvl>
    <w:lvl w:ilvl="5" w:tplc="0AB2D2E8">
      <w:start w:val="1"/>
      <w:numFmt w:val="bullet"/>
      <w:lvlText w:val=""/>
      <w:lvlJc w:val="left"/>
      <w:pPr>
        <w:ind w:left="4320" w:hanging="360"/>
      </w:pPr>
      <w:rPr>
        <w:rFonts w:ascii="Wingdings" w:hAnsi="Wingdings" w:hint="default"/>
      </w:rPr>
    </w:lvl>
    <w:lvl w:ilvl="6" w:tplc="C3C60336">
      <w:start w:val="1"/>
      <w:numFmt w:val="bullet"/>
      <w:lvlText w:val=""/>
      <w:lvlJc w:val="left"/>
      <w:pPr>
        <w:ind w:left="5040" w:hanging="360"/>
      </w:pPr>
      <w:rPr>
        <w:rFonts w:ascii="Symbol" w:hAnsi="Symbol" w:hint="default"/>
      </w:rPr>
    </w:lvl>
    <w:lvl w:ilvl="7" w:tplc="93DCC330">
      <w:start w:val="1"/>
      <w:numFmt w:val="bullet"/>
      <w:lvlText w:val="o"/>
      <w:lvlJc w:val="left"/>
      <w:pPr>
        <w:ind w:left="5760" w:hanging="360"/>
      </w:pPr>
      <w:rPr>
        <w:rFonts w:ascii="Courier New" w:hAnsi="Courier New" w:hint="default"/>
      </w:rPr>
    </w:lvl>
    <w:lvl w:ilvl="8" w:tplc="AB5C8C18">
      <w:start w:val="1"/>
      <w:numFmt w:val="bullet"/>
      <w:lvlText w:val=""/>
      <w:lvlJc w:val="left"/>
      <w:pPr>
        <w:ind w:left="6480" w:hanging="360"/>
      </w:pPr>
      <w:rPr>
        <w:rFonts w:ascii="Wingdings" w:hAnsi="Wingdings" w:hint="default"/>
      </w:rPr>
    </w:lvl>
  </w:abstractNum>
  <w:abstractNum w:abstractNumId="1" w15:restartNumberingAfterBreak="0">
    <w:nsid w:val="1D690EF8"/>
    <w:multiLevelType w:val="multilevel"/>
    <w:tmpl w:val="C8785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DD2B27"/>
    <w:multiLevelType w:val="multilevel"/>
    <w:tmpl w:val="41329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115E7"/>
    <w:multiLevelType w:val="multilevel"/>
    <w:tmpl w:val="E32A70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B5518FE"/>
    <w:multiLevelType w:val="hybridMultilevel"/>
    <w:tmpl w:val="FD322F64"/>
    <w:lvl w:ilvl="0" w:tplc="6624CE78">
      <w:start w:val="1"/>
      <w:numFmt w:val="bullet"/>
      <w:lvlText w:val=""/>
      <w:lvlJc w:val="left"/>
      <w:pPr>
        <w:ind w:left="720" w:hanging="360"/>
      </w:pPr>
      <w:rPr>
        <w:rFonts w:ascii="Symbol" w:hAnsi="Symbol" w:hint="default"/>
      </w:rPr>
    </w:lvl>
    <w:lvl w:ilvl="1" w:tplc="7D30170C">
      <w:start w:val="1"/>
      <w:numFmt w:val="bullet"/>
      <w:lvlText w:val="o"/>
      <w:lvlJc w:val="left"/>
      <w:pPr>
        <w:ind w:left="1440" w:hanging="360"/>
      </w:pPr>
      <w:rPr>
        <w:rFonts w:ascii="Courier New" w:hAnsi="Courier New" w:hint="default"/>
      </w:rPr>
    </w:lvl>
    <w:lvl w:ilvl="2" w:tplc="ACB672C0">
      <w:start w:val="1"/>
      <w:numFmt w:val="bullet"/>
      <w:lvlText w:val=""/>
      <w:lvlJc w:val="left"/>
      <w:pPr>
        <w:ind w:left="2160" w:hanging="360"/>
      </w:pPr>
      <w:rPr>
        <w:rFonts w:ascii="Wingdings" w:hAnsi="Wingdings" w:hint="default"/>
      </w:rPr>
    </w:lvl>
    <w:lvl w:ilvl="3" w:tplc="CE2C0DFE">
      <w:start w:val="1"/>
      <w:numFmt w:val="bullet"/>
      <w:lvlText w:val=""/>
      <w:lvlJc w:val="left"/>
      <w:pPr>
        <w:ind w:left="2880" w:hanging="360"/>
      </w:pPr>
      <w:rPr>
        <w:rFonts w:ascii="Symbol" w:hAnsi="Symbol" w:hint="default"/>
      </w:rPr>
    </w:lvl>
    <w:lvl w:ilvl="4" w:tplc="3A0EB3AC">
      <w:start w:val="1"/>
      <w:numFmt w:val="bullet"/>
      <w:lvlText w:val="o"/>
      <w:lvlJc w:val="left"/>
      <w:pPr>
        <w:ind w:left="3600" w:hanging="360"/>
      </w:pPr>
      <w:rPr>
        <w:rFonts w:ascii="Courier New" w:hAnsi="Courier New" w:hint="default"/>
      </w:rPr>
    </w:lvl>
    <w:lvl w:ilvl="5" w:tplc="67D0ED3C">
      <w:start w:val="1"/>
      <w:numFmt w:val="bullet"/>
      <w:lvlText w:val=""/>
      <w:lvlJc w:val="left"/>
      <w:pPr>
        <w:ind w:left="4320" w:hanging="360"/>
      </w:pPr>
      <w:rPr>
        <w:rFonts w:ascii="Wingdings" w:hAnsi="Wingdings" w:hint="default"/>
      </w:rPr>
    </w:lvl>
    <w:lvl w:ilvl="6" w:tplc="B366F9CC">
      <w:start w:val="1"/>
      <w:numFmt w:val="bullet"/>
      <w:lvlText w:val=""/>
      <w:lvlJc w:val="left"/>
      <w:pPr>
        <w:ind w:left="5040" w:hanging="360"/>
      </w:pPr>
      <w:rPr>
        <w:rFonts w:ascii="Symbol" w:hAnsi="Symbol" w:hint="default"/>
      </w:rPr>
    </w:lvl>
    <w:lvl w:ilvl="7" w:tplc="D30AD462">
      <w:start w:val="1"/>
      <w:numFmt w:val="bullet"/>
      <w:lvlText w:val="o"/>
      <w:lvlJc w:val="left"/>
      <w:pPr>
        <w:ind w:left="5760" w:hanging="360"/>
      </w:pPr>
      <w:rPr>
        <w:rFonts w:ascii="Courier New" w:hAnsi="Courier New" w:hint="default"/>
      </w:rPr>
    </w:lvl>
    <w:lvl w:ilvl="8" w:tplc="2F6A4C52">
      <w:start w:val="1"/>
      <w:numFmt w:val="bullet"/>
      <w:lvlText w:val=""/>
      <w:lvlJc w:val="left"/>
      <w:pPr>
        <w:ind w:left="6480" w:hanging="360"/>
      </w:pPr>
      <w:rPr>
        <w:rFonts w:ascii="Wingdings" w:hAnsi="Wingdings" w:hint="default"/>
      </w:rPr>
    </w:lvl>
  </w:abstractNum>
  <w:abstractNum w:abstractNumId="5" w15:restartNumberingAfterBreak="0">
    <w:nsid w:val="62774236"/>
    <w:multiLevelType w:val="multilevel"/>
    <w:tmpl w:val="CD06E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AFB7DE6"/>
    <w:multiLevelType w:val="multilevel"/>
    <w:tmpl w:val="5C06C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537640"/>
    <w:multiLevelType w:val="hybridMultilevel"/>
    <w:tmpl w:val="7F54285E"/>
    <w:lvl w:ilvl="0" w:tplc="2BF4B336">
      <w:start w:val="1"/>
      <w:numFmt w:val="bullet"/>
      <w:lvlText w:val=""/>
      <w:lvlJc w:val="left"/>
      <w:pPr>
        <w:ind w:left="720" w:hanging="360"/>
      </w:pPr>
      <w:rPr>
        <w:rFonts w:ascii="Symbol" w:hAnsi="Symbol" w:hint="default"/>
      </w:rPr>
    </w:lvl>
    <w:lvl w:ilvl="1" w:tplc="C59EB5FA">
      <w:start w:val="1"/>
      <w:numFmt w:val="bullet"/>
      <w:lvlText w:val="o"/>
      <w:lvlJc w:val="left"/>
      <w:pPr>
        <w:ind w:left="1440" w:hanging="360"/>
      </w:pPr>
      <w:rPr>
        <w:rFonts w:ascii="Courier New" w:hAnsi="Courier New" w:hint="default"/>
      </w:rPr>
    </w:lvl>
    <w:lvl w:ilvl="2" w:tplc="C6A42E9C">
      <w:start w:val="1"/>
      <w:numFmt w:val="bullet"/>
      <w:lvlText w:val=""/>
      <w:lvlJc w:val="left"/>
      <w:pPr>
        <w:ind w:left="2160" w:hanging="360"/>
      </w:pPr>
      <w:rPr>
        <w:rFonts w:ascii="Wingdings" w:hAnsi="Wingdings" w:hint="default"/>
      </w:rPr>
    </w:lvl>
    <w:lvl w:ilvl="3" w:tplc="7F6000DA">
      <w:start w:val="1"/>
      <w:numFmt w:val="bullet"/>
      <w:lvlText w:val=""/>
      <w:lvlJc w:val="left"/>
      <w:pPr>
        <w:ind w:left="2880" w:hanging="360"/>
      </w:pPr>
      <w:rPr>
        <w:rFonts w:ascii="Symbol" w:hAnsi="Symbol" w:hint="default"/>
      </w:rPr>
    </w:lvl>
    <w:lvl w:ilvl="4" w:tplc="1474E2F0">
      <w:start w:val="1"/>
      <w:numFmt w:val="bullet"/>
      <w:lvlText w:val="o"/>
      <w:lvlJc w:val="left"/>
      <w:pPr>
        <w:ind w:left="3600" w:hanging="360"/>
      </w:pPr>
      <w:rPr>
        <w:rFonts w:ascii="Courier New" w:hAnsi="Courier New" w:hint="default"/>
      </w:rPr>
    </w:lvl>
    <w:lvl w:ilvl="5" w:tplc="A8B48726">
      <w:start w:val="1"/>
      <w:numFmt w:val="bullet"/>
      <w:lvlText w:val=""/>
      <w:lvlJc w:val="left"/>
      <w:pPr>
        <w:ind w:left="4320" w:hanging="360"/>
      </w:pPr>
      <w:rPr>
        <w:rFonts w:ascii="Wingdings" w:hAnsi="Wingdings" w:hint="default"/>
      </w:rPr>
    </w:lvl>
    <w:lvl w:ilvl="6" w:tplc="4538D2CA">
      <w:start w:val="1"/>
      <w:numFmt w:val="bullet"/>
      <w:lvlText w:val=""/>
      <w:lvlJc w:val="left"/>
      <w:pPr>
        <w:ind w:left="5040" w:hanging="360"/>
      </w:pPr>
      <w:rPr>
        <w:rFonts w:ascii="Symbol" w:hAnsi="Symbol" w:hint="default"/>
      </w:rPr>
    </w:lvl>
    <w:lvl w:ilvl="7" w:tplc="269CB682">
      <w:start w:val="1"/>
      <w:numFmt w:val="bullet"/>
      <w:lvlText w:val="o"/>
      <w:lvlJc w:val="left"/>
      <w:pPr>
        <w:ind w:left="5760" w:hanging="360"/>
      </w:pPr>
      <w:rPr>
        <w:rFonts w:ascii="Courier New" w:hAnsi="Courier New" w:hint="default"/>
      </w:rPr>
    </w:lvl>
    <w:lvl w:ilvl="8" w:tplc="482E91E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6B"/>
    <w:rsid w:val="000030B7"/>
    <w:rsid w:val="000A50E0"/>
    <w:rsid w:val="000D001B"/>
    <w:rsid w:val="002C2042"/>
    <w:rsid w:val="003F4867"/>
    <w:rsid w:val="00497DD6"/>
    <w:rsid w:val="004B294F"/>
    <w:rsid w:val="0054444B"/>
    <w:rsid w:val="00664EFA"/>
    <w:rsid w:val="00735D9A"/>
    <w:rsid w:val="007611D5"/>
    <w:rsid w:val="00823114"/>
    <w:rsid w:val="00877DEB"/>
    <w:rsid w:val="00891778"/>
    <w:rsid w:val="00A74400"/>
    <w:rsid w:val="00B460E7"/>
    <w:rsid w:val="00B70C6B"/>
    <w:rsid w:val="00BD290D"/>
    <w:rsid w:val="00BE1BB4"/>
    <w:rsid w:val="00EA3C21"/>
    <w:rsid w:val="00F34F63"/>
    <w:rsid w:val="01515B60"/>
    <w:rsid w:val="0158B389"/>
    <w:rsid w:val="019E8052"/>
    <w:rsid w:val="01E0513A"/>
    <w:rsid w:val="02591751"/>
    <w:rsid w:val="02A0E154"/>
    <w:rsid w:val="0371BAC5"/>
    <w:rsid w:val="0386E5AE"/>
    <w:rsid w:val="03AD9323"/>
    <w:rsid w:val="03BB8F64"/>
    <w:rsid w:val="03ED08D3"/>
    <w:rsid w:val="047AC3DF"/>
    <w:rsid w:val="04A3B74D"/>
    <w:rsid w:val="04EFBC41"/>
    <w:rsid w:val="04FB052E"/>
    <w:rsid w:val="063ABB34"/>
    <w:rsid w:val="07A8685B"/>
    <w:rsid w:val="07B70BF2"/>
    <w:rsid w:val="0826256F"/>
    <w:rsid w:val="08326F46"/>
    <w:rsid w:val="08596372"/>
    <w:rsid w:val="08DE4EF7"/>
    <w:rsid w:val="09B86BD7"/>
    <w:rsid w:val="09D1AB7F"/>
    <w:rsid w:val="0A91D5C9"/>
    <w:rsid w:val="0AE86A09"/>
    <w:rsid w:val="0B95CC2C"/>
    <w:rsid w:val="0BB93F54"/>
    <w:rsid w:val="0BCA82AA"/>
    <w:rsid w:val="0BD4A2DA"/>
    <w:rsid w:val="0BD722DF"/>
    <w:rsid w:val="0BDBEEED"/>
    <w:rsid w:val="0C371066"/>
    <w:rsid w:val="0C82259D"/>
    <w:rsid w:val="0C8DF9A4"/>
    <w:rsid w:val="0CFBB976"/>
    <w:rsid w:val="0D1D3313"/>
    <w:rsid w:val="0D95EB37"/>
    <w:rsid w:val="0E1EE199"/>
    <w:rsid w:val="0E2E7D1C"/>
    <w:rsid w:val="0E73E445"/>
    <w:rsid w:val="0F602F7E"/>
    <w:rsid w:val="0FDBC550"/>
    <w:rsid w:val="100A654D"/>
    <w:rsid w:val="11DD416B"/>
    <w:rsid w:val="1204EF57"/>
    <w:rsid w:val="123B1DB0"/>
    <w:rsid w:val="123C78A7"/>
    <w:rsid w:val="123DF319"/>
    <w:rsid w:val="1242B1DE"/>
    <w:rsid w:val="128960B1"/>
    <w:rsid w:val="1361298B"/>
    <w:rsid w:val="13C41D76"/>
    <w:rsid w:val="13E3851F"/>
    <w:rsid w:val="1460201D"/>
    <w:rsid w:val="14C60A57"/>
    <w:rsid w:val="15153F44"/>
    <w:rsid w:val="159156D5"/>
    <w:rsid w:val="15A93ADD"/>
    <w:rsid w:val="16400D4D"/>
    <w:rsid w:val="16688B15"/>
    <w:rsid w:val="1737B48C"/>
    <w:rsid w:val="1747DF4C"/>
    <w:rsid w:val="1762A805"/>
    <w:rsid w:val="1782F8FF"/>
    <w:rsid w:val="179675B7"/>
    <w:rsid w:val="18643F69"/>
    <w:rsid w:val="18667081"/>
    <w:rsid w:val="187F0CC3"/>
    <w:rsid w:val="191907C1"/>
    <w:rsid w:val="1934E236"/>
    <w:rsid w:val="195C1057"/>
    <w:rsid w:val="197968E1"/>
    <w:rsid w:val="19C44E12"/>
    <w:rsid w:val="1A151BF7"/>
    <w:rsid w:val="1A4C5B13"/>
    <w:rsid w:val="1A647AB4"/>
    <w:rsid w:val="1C2ACD76"/>
    <w:rsid w:val="1C88BB13"/>
    <w:rsid w:val="1D13327A"/>
    <w:rsid w:val="1E5ED73F"/>
    <w:rsid w:val="1E6B82E5"/>
    <w:rsid w:val="1E94EB98"/>
    <w:rsid w:val="1EC7D339"/>
    <w:rsid w:val="1F444EA3"/>
    <w:rsid w:val="1F466C9A"/>
    <w:rsid w:val="1F4E09FE"/>
    <w:rsid w:val="1F6500B8"/>
    <w:rsid w:val="1F6B12D3"/>
    <w:rsid w:val="1F89C2F0"/>
    <w:rsid w:val="1FA49A51"/>
    <w:rsid w:val="1FABCC11"/>
    <w:rsid w:val="1FE7BC05"/>
    <w:rsid w:val="20866E8D"/>
    <w:rsid w:val="20E65845"/>
    <w:rsid w:val="20FDC082"/>
    <w:rsid w:val="214C139C"/>
    <w:rsid w:val="216FF513"/>
    <w:rsid w:val="2184128D"/>
    <w:rsid w:val="21911DB7"/>
    <w:rsid w:val="223430C7"/>
    <w:rsid w:val="22A8E0E1"/>
    <w:rsid w:val="232C6976"/>
    <w:rsid w:val="2367E606"/>
    <w:rsid w:val="24061F1E"/>
    <w:rsid w:val="2432C46F"/>
    <w:rsid w:val="24ADBB8F"/>
    <w:rsid w:val="24B4030C"/>
    <w:rsid w:val="2503550F"/>
    <w:rsid w:val="25079252"/>
    <w:rsid w:val="268BAA92"/>
    <w:rsid w:val="26E3527A"/>
    <w:rsid w:val="27E8E09B"/>
    <w:rsid w:val="28199873"/>
    <w:rsid w:val="282909A8"/>
    <w:rsid w:val="283B7B76"/>
    <w:rsid w:val="28B5AD1B"/>
    <w:rsid w:val="28EBFD1F"/>
    <w:rsid w:val="28FA6D1A"/>
    <w:rsid w:val="29A31F97"/>
    <w:rsid w:val="2A4C428F"/>
    <w:rsid w:val="2A94D0BA"/>
    <w:rsid w:val="2AD175BC"/>
    <w:rsid w:val="2B1D8657"/>
    <w:rsid w:val="2B2695D7"/>
    <w:rsid w:val="2B624CE1"/>
    <w:rsid w:val="2BB1DA1D"/>
    <w:rsid w:val="2BECC39B"/>
    <w:rsid w:val="2CCF72A3"/>
    <w:rsid w:val="2CE05938"/>
    <w:rsid w:val="2D0197CF"/>
    <w:rsid w:val="2D1B3BC4"/>
    <w:rsid w:val="2DAB56DF"/>
    <w:rsid w:val="2DC6BC54"/>
    <w:rsid w:val="2E112DE3"/>
    <w:rsid w:val="2E923A13"/>
    <w:rsid w:val="2E95E82C"/>
    <w:rsid w:val="2ED12901"/>
    <w:rsid w:val="2EDDDB95"/>
    <w:rsid w:val="2F0E7422"/>
    <w:rsid w:val="2FFF638B"/>
    <w:rsid w:val="3152F775"/>
    <w:rsid w:val="319B43EC"/>
    <w:rsid w:val="319F9783"/>
    <w:rsid w:val="31E0B2E7"/>
    <w:rsid w:val="31EB1C80"/>
    <w:rsid w:val="321C9493"/>
    <w:rsid w:val="3246BCBC"/>
    <w:rsid w:val="325928F2"/>
    <w:rsid w:val="32CB7F18"/>
    <w:rsid w:val="33063E6E"/>
    <w:rsid w:val="33466A75"/>
    <w:rsid w:val="33C80E96"/>
    <w:rsid w:val="33EA51E7"/>
    <w:rsid w:val="33F5CD41"/>
    <w:rsid w:val="345F8BD2"/>
    <w:rsid w:val="34A10422"/>
    <w:rsid w:val="34DA8358"/>
    <w:rsid w:val="35DF0590"/>
    <w:rsid w:val="3604AB38"/>
    <w:rsid w:val="3632259B"/>
    <w:rsid w:val="3637A6B6"/>
    <w:rsid w:val="363F1A79"/>
    <w:rsid w:val="365BECD0"/>
    <w:rsid w:val="366B45BB"/>
    <w:rsid w:val="369A0E84"/>
    <w:rsid w:val="36A9ACAF"/>
    <w:rsid w:val="37238128"/>
    <w:rsid w:val="37858262"/>
    <w:rsid w:val="39B7E592"/>
    <w:rsid w:val="3A299D64"/>
    <w:rsid w:val="3A6EBF15"/>
    <w:rsid w:val="3A8D0816"/>
    <w:rsid w:val="3A9C2825"/>
    <w:rsid w:val="3AA80D1C"/>
    <w:rsid w:val="3B4DA8F7"/>
    <w:rsid w:val="3BA78AD5"/>
    <w:rsid w:val="3BB4004F"/>
    <w:rsid w:val="3BC6AB7A"/>
    <w:rsid w:val="3CA4093F"/>
    <w:rsid w:val="3CACD569"/>
    <w:rsid w:val="3CCA0C17"/>
    <w:rsid w:val="3EDE928A"/>
    <w:rsid w:val="3F227491"/>
    <w:rsid w:val="3F572EFE"/>
    <w:rsid w:val="3F806516"/>
    <w:rsid w:val="3F9FEFAC"/>
    <w:rsid w:val="40410C02"/>
    <w:rsid w:val="40477CFE"/>
    <w:rsid w:val="40F5B515"/>
    <w:rsid w:val="4110904B"/>
    <w:rsid w:val="41395739"/>
    <w:rsid w:val="41C206D3"/>
    <w:rsid w:val="422BEC1E"/>
    <w:rsid w:val="422C50DE"/>
    <w:rsid w:val="429D1027"/>
    <w:rsid w:val="42E80614"/>
    <w:rsid w:val="42FA961E"/>
    <w:rsid w:val="433D307C"/>
    <w:rsid w:val="435A3874"/>
    <w:rsid w:val="436C6192"/>
    <w:rsid w:val="437E565D"/>
    <w:rsid w:val="43B493BF"/>
    <w:rsid w:val="440BA18D"/>
    <w:rsid w:val="44464608"/>
    <w:rsid w:val="44685176"/>
    <w:rsid w:val="44E6B8A7"/>
    <w:rsid w:val="450161EF"/>
    <w:rsid w:val="45A30364"/>
    <w:rsid w:val="45AC046C"/>
    <w:rsid w:val="45BA723E"/>
    <w:rsid w:val="4683360C"/>
    <w:rsid w:val="469EE262"/>
    <w:rsid w:val="46B2B4A6"/>
    <w:rsid w:val="47064D45"/>
    <w:rsid w:val="47175110"/>
    <w:rsid w:val="47A9481F"/>
    <w:rsid w:val="480901C0"/>
    <w:rsid w:val="48B27C8B"/>
    <w:rsid w:val="49AEC031"/>
    <w:rsid w:val="49C2DC81"/>
    <w:rsid w:val="4A022926"/>
    <w:rsid w:val="4A76346C"/>
    <w:rsid w:val="4ACAC966"/>
    <w:rsid w:val="4AD7DD16"/>
    <w:rsid w:val="4B051536"/>
    <w:rsid w:val="4BBFFC09"/>
    <w:rsid w:val="4BFC2E39"/>
    <w:rsid w:val="4C36E5EE"/>
    <w:rsid w:val="4C6847E9"/>
    <w:rsid w:val="4CDB6A81"/>
    <w:rsid w:val="4D2C0010"/>
    <w:rsid w:val="4D3CFD9F"/>
    <w:rsid w:val="4D70427C"/>
    <w:rsid w:val="4D7CC123"/>
    <w:rsid w:val="4E1EF55B"/>
    <w:rsid w:val="4E485CF7"/>
    <w:rsid w:val="4EF25E82"/>
    <w:rsid w:val="4F93A26B"/>
    <w:rsid w:val="4FC3A81A"/>
    <w:rsid w:val="5020A6A1"/>
    <w:rsid w:val="507B89D1"/>
    <w:rsid w:val="508FCCE0"/>
    <w:rsid w:val="50988268"/>
    <w:rsid w:val="50AF7B49"/>
    <w:rsid w:val="51084C5C"/>
    <w:rsid w:val="51105BAD"/>
    <w:rsid w:val="516085C6"/>
    <w:rsid w:val="51E9AC12"/>
    <w:rsid w:val="52067DB5"/>
    <w:rsid w:val="521729F2"/>
    <w:rsid w:val="5256BAC4"/>
    <w:rsid w:val="5268C2A5"/>
    <w:rsid w:val="52A51838"/>
    <w:rsid w:val="53AEFE2A"/>
    <w:rsid w:val="53CF6B75"/>
    <w:rsid w:val="53DACBC3"/>
    <w:rsid w:val="53E63301"/>
    <w:rsid w:val="542D3C5E"/>
    <w:rsid w:val="54496EAD"/>
    <w:rsid w:val="54600E8E"/>
    <w:rsid w:val="546EA3B2"/>
    <w:rsid w:val="549A3CBE"/>
    <w:rsid w:val="5565EAAD"/>
    <w:rsid w:val="5576DBEB"/>
    <w:rsid w:val="5587173F"/>
    <w:rsid w:val="55FA47B6"/>
    <w:rsid w:val="568F38F6"/>
    <w:rsid w:val="574FC8A5"/>
    <w:rsid w:val="58056E4B"/>
    <w:rsid w:val="581988D8"/>
    <w:rsid w:val="58719CF7"/>
    <w:rsid w:val="588FF39C"/>
    <w:rsid w:val="58AE2B34"/>
    <w:rsid w:val="59AB5DA6"/>
    <w:rsid w:val="59F5CDCA"/>
    <w:rsid w:val="5A51F8EC"/>
    <w:rsid w:val="5A620413"/>
    <w:rsid w:val="5B09FABC"/>
    <w:rsid w:val="5B170210"/>
    <w:rsid w:val="5B4E5DD0"/>
    <w:rsid w:val="5B7B4228"/>
    <w:rsid w:val="5C23EF8D"/>
    <w:rsid w:val="5C527C88"/>
    <w:rsid w:val="5C5FA0DE"/>
    <w:rsid w:val="5CFD473B"/>
    <w:rsid w:val="5D8F1D22"/>
    <w:rsid w:val="5E1194A7"/>
    <w:rsid w:val="5E20EFB6"/>
    <w:rsid w:val="5EA5EB42"/>
    <w:rsid w:val="6080E2E2"/>
    <w:rsid w:val="6132A20A"/>
    <w:rsid w:val="61E549A4"/>
    <w:rsid w:val="61F18E49"/>
    <w:rsid w:val="621BEC55"/>
    <w:rsid w:val="622FCA3A"/>
    <w:rsid w:val="62538BFE"/>
    <w:rsid w:val="62C7BD0A"/>
    <w:rsid w:val="63092738"/>
    <w:rsid w:val="63456168"/>
    <w:rsid w:val="63C803A6"/>
    <w:rsid w:val="63D4FE8A"/>
    <w:rsid w:val="64103AD8"/>
    <w:rsid w:val="64309981"/>
    <w:rsid w:val="6467D687"/>
    <w:rsid w:val="64BB9031"/>
    <w:rsid w:val="64C448CE"/>
    <w:rsid w:val="6534F178"/>
    <w:rsid w:val="65732E04"/>
    <w:rsid w:val="66C22B90"/>
    <w:rsid w:val="66E33A97"/>
    <w:rsid w:val="676286F6"/>
    <w:rsid w:val="67CB0358"/>
    <w:rsid w:val="67E0BA1D"/>
    <w:rsid w:val="682782E0"/>
    <w:rsid w:val="68AA078B"/>
    <w:rsid w:val="68BB0E47"/>
    <w:rsid w:val="68C3FF45"/>
    <w:rsid w:val="68CC41C9"/>
    <w:rsid w:val="69A4F66A"/>
    <w:rsid w:val="69CE1109"/>
    <w:rsid w:val="6A02A586"/>
    <w:rsid w:val="6A2ACFF3"/>
    <w:rsid w:val="6A646E69"/>
    <w:rsid w:val="6A8C1B10"/>
    <w:rsid w:val="6AB8F263"/>
    <w:rsid w:val="6AE4AB50"/>
    <w:rsid w:val="6AEC9853"/>
    <w:rsid w:val="6B46B616"/>
    <w:rsid w:val="6B8C1F17"/>
    <w:rsid w:val="6CA7209B"/>
    <w:rsid w:val="6CB87F19"/>
    <w:rsid w:val="6D18A359"/>
    <w:rsid w:val="6D38814C"/>
    <w:rsid w:val="6DBC5805"/>
    <w:rsid w:val="6DC99AC3"/>
    <w:rsid w:val="6E53882E"/>
    <w:rsid w:val="6EA4682A"/>
    <w:rsid w:val="6F9EB871"/>
    <w:rsid w:val="704CAAF1"/>
    <w:rsid w:val="70658401"/>
    <w:rsid w:val="70DE3AA2"/>
    <w:rsid w:val="70F92667"/>
    <w:rsid w:val="714106BF"/>
    <w:rsid w:val="71EB6895"/>
    <w:rsid w:val="720309E9"/>
    <w:rsid w:val="72146F7D"/>
    <w:rsid w:val="72EC7841"/>
    <w:rsid w:val="72F938E8"/>
    <w:rsid w:val="7309B7FC"/>
    <w:rsid w:val="735ECF7C"/>
    <w:rsid w:val="7383756D"/>
    <w:rsid w:val="73C0F260"/>
    <w:rsid w:val="7537B564"/>
    <w:rsid w:val="7537C5F1"/>
    <w:rsid w:val="7563C5AE"/>
    <w:rsid w:val="757EEDE4"/>
    <w:rsid w:val="758566F9"/>
    <w:rsid w:val="75AE430E"/>
    <w:rsid w:val="762A7D2E"/>
    <w:rsid w:val="76CD070F"/>
    <w:rsid w:val="77333F92"/>
    <w:rsid w:val="778B81E0"/>
    <w:rsid w:val="778DF451"/>
    <w:rsid w:val="77B8FAB4"/>
    <w:rsid w:val="77E84D25"/>
    <w:rsid w:val="780B4F59"/>
    <w:rsid w:val="780CD706"/>
    <w:rsid w:val="78877109"/>
    <w:rsid w:val="78909CBA"/>
    <w:rsid w:val="78B20D2D"/>
    <w:rsid w:val="78F5CCDD"/>
    <w:rsid w:val="799B72D6"/>
    <w:rsid w:val="799BE265"/>
    <w:rsid w:val="79D7FFA2"/>
    <w:rsid w:val="7A9DA792"/>
    <w:rsid w:val="7AC4FC35"/>
    <w:rsid w:val="7AE8449B"/>
    <w:rsid w:val="7B4DCE24"/>
    <w:rsid w:val="7B8486CB"/>
    <w:rsid w:val="7BBD2CFE"/>
    <w:rsid w:val="7BF17BBD"/>
    <w:rsid w:val="7BFC60DC"/>
    <w:rsid w:val="7C2BDFF9"/>
    <w:rsid w:val="7D0E0920"/>
    <w:rsid w:val="7D8A7BC0"/>
    <w:rsid w:val="7D9F2A15"/>
    <w:rsid w:val="7DE7CC14"/>
    <w:rsid w:val="7F73BB99"/>
    <w:rsid w:val="7F894A49"/>
    <w:rsid w:val="7F934D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37B"/>
  <w15:docId w15:val="{E45B7DC1-7D5D-49CA-9D67-957EF43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Pr>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A50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unicacion@semfy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94682870169A4EAF0BBDCC8C23FD9D" ma:contentTypeVersion="12" ma:contentTypeDescription="Crear nuevo documento." ma:contentTypeScope="" ma:versionID="f745c021e7bbe7cc06d3d8fe17bec6d6">
  <xsd:schema xmlns:xsd="http://www.w3.org/2001/XMLSchema" xmlns:xs="http://www.w3.org/2001/XMLSchema" xmlns:p="http://schemas.microsoft.com/office/2006/metadata/properties" xmlns:ns2="c6b8ec3f-bc02-45d9-9595-cfbd987f005c" xmlns:ns3="b1a6cb1a-6c0f-4ec8-979f-455359bc4619" targetNamespace="http://schemas.microsoft.com/office/2006/metadata/properties" ma:root="true" ma:fieldsID="9de95639bf0ee7443b8b7a7e535c36fc" ns2:_="" ns3:_="">
    <xsd:import namespace="c6b8ec3f-bc02-45d9-9595-cfbd987f005c"/>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8ec3f-bc02-45d9-9595-cfbd987f00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88D37-A250-4549-9FA7-4CB69F096945}">
  <ds:schemaRefs>
    <ds:schemaRef ds:uri="http://schemas.microsoft.com/sharepoint/v3/contenttype/forms"/>
  </ds:schemaRefs>
</ds:datastoreItem>
</file>

<file path=customXml/itemProps2.xml><?xml version="1.0" encoding="utf-8"?>
<ds:datastoreItem xmlns:ds="http://schemas.openxmlformats.org/officeDocument/2006/customXml" ds:itemID="{4417C9C5-F9B6-44AA-B7FE-03845215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8ec3f-bc02-45d9-9595-cfbd987f005c"/>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12C82-BF02-4446-B636-0A78CF972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1328</Words>
  <Characters>7576</Characters>
  <Application>Microsoft Office Word</Application>
  <DocSecurity>0</DocSecurity>
  <Lines>63</Lines>
  <Paragraphs>17</Paragraphs>
  <ScaleCrop>false</ScaleCrop>
  <Company>Hewlett-Packard</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Iglesias</dc:creator>
  <cp:lastModifiedBy>Anna Serrano Coll</cp:lastModifiedBy>
  <cp:revision>5</cp:revision>
  <dcterms:created xsi:type="dcterms:W3CDTF">2020-07-24T09:30:00Z</dcterms:created>
  <dcterms:modified xsi:type="dcterms:W3CDTF">2020-07-24T09:47:00Z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0x0101009A94682870169A4EAF0BBDCC8C23FD9D</vt:lpwstr>
  </property>
</Properties>
</file>